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29EC" w14:textId="26486E92" w:rsidR="006C1C62" w:rsidRPr="00794AA7" w:rsidRDefault="006C1C62" w:rsidP="00794AA7">
      <w:pPr>
        <w:pStyle w:val="Tekstopmerking"/>
        <w:spacing w:after="0" w:afterAutospacing="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  <w:proofErr w:type="spellStart"/>
      <w:r w:rsidRPr="006C1C62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Sophos</w:t>
      </w:r>
      <w:proofErr w:type="spellEnd"/>
      <w:r w:rsidRPr="006C1C62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 xml:space="preserve"> publie son rapport sur les menaces 2021</w:t>
      </w:r>
      <w:r w:rsidR="00794AA7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br/>
      </w:r>
      <w:r w:rsidRPr="00794AA7">
        <w:rPr>
          <w:rFonts w:ascii="Calibri" w:eastAsia="Calibri" w:hAnsi="Calibri" w:cs="Calibri"/>
          <w:bCs/>
          <w:i/>
          <w:iCs/>
          <w:color w:val="000000"/>
          <w:lang w:val="fr-FR"/>
        </w:rPr>
        <w:t>Quelles sont les tendances en matière de cyberattaques susceptibles de façonner la sécurité IT en 2021 ?</w:t>
      </w:r>
    </w:p>
    <w:p w14:paraId="552CCBC9" w14:textId="22C2D862" w:rsidR="00EF0075" w:rsidRPr="00794AA7" w:rsidRDefault="00794AA7" w:rsidP="00794AA7">
      <w:pPr>
        <w:spacing w:line="360" w:lineRule="auto"/>
        <w:rPr>
          <w:rFonts w:ascii="Calibri" w:hAnsi="Calibri" w:cs="Calibri"/>
          <w:color w:val="000000"/>
          <w:sz w:val="20"/>
          <w:szCs w:val="20"/>
          <w:lang w:val="fr-FR"/>
        </w:rPr>
      </w:pPr>
      <w:proofErr w:type="spellStart"/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Oosterhout</w:t>
      </w:r>
      <w:proofErr w:type="spellEnd"/>
      <w:r w:rsidR="00E64ACE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, le </w:t>
      </w:r>
      <w:r w:rsidR="00C70303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18</w:t>
      </w:r>
      <w:r w:rsidR="0076114D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</w:t>
      </w:r>
      <w:r w:rsidR="00E64ACE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novembre 2020 </w:t>
      </w:r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– </w:t>
      </w:r>
      <w:hyperlink r:id="rId11" w:history="1">
        <w:proofErr w:type="spellStart"/>
        <w:r w:rsidR="00EF0075" w:rsidRPr="00794AA7">
          <w:rPr>
            <w:rStyle w:val="Hyperlink"/>
            <w:rFonts w:ascii="Calibri" w:hAnsi="Calibri" w:cs="Calibri"/>
            <w:b/>
            <w:bCs/>
            <w:sz w:val="20"/>
            <w:szCs w:val="20"/>
            <w:lang w:val="fr-FR"/>
          </w:rPr>
          <w:t>Sophos</w:t>
        </w:r>
        <w:proofErr w:type="spellEnd"/>
      </w:hyperlink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 annonce la publication d</w:t>
      </w:r>
      <w:r w:rsidR="00E64ACE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e son </w:t>
      </w:r>
      <w:r w:rsidR="00E23E5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rapport sur les menaces 2021 (</w:t>
      </w:r>
      <w:proofErr w:type="spellStart"/>
      <w:r w:rsidR="00722399" w:rsidRPr="00794AA7">
        <w:rPr>
          <w:rFonts w:ascii="Calibri" w:hAnsi="Calibri" w:cs="Calibri"/>
          <w:b/>
          <w:bCs/>
          <w:sz w:val="20"/>
          <w:szCs w:val="20"/>
        </w:rPr>
        <w:fldChar w:fldCharType="begin"/>
      </w:r>
      <w:r w:rsidR="00722399" w:rsidRPr="00794AA7">
        <w:rPr>
          <w:rFonts w:ascii="Calibri" w:hAnsi="Calibri" w:cs="Calibri"/>
          <w:b/>
          <w:bCs/>
          <w:sz w:val="20"/>
          <w:szCs w:val="20"/>
        </w:rPr>
        <w:instrText xml:space="preserve"> HYPERLINK "http://www.sophos.com/threatreport" </w:instrText>
      </w:r>
      <w:r w:rsidR="00722399" w:rsidRPr="00794AA7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E23E55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t>Sophos</w:t>
      </w:r>
      <w:proofErr w:type="spellEnd"/>
      <w:r w:rsidR="00E23E55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t> 2021</w:t>
      </w:r>
      <w:r w:rsidR="00EF0075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="00EF0075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t>Threat</w:t>
      </w:r>
      <w:proofErr w:type="spellEnd"/>
      <w:r w:rsidR="00EF0075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t xml:space="preserve"> Report</w:t>
      </w:r>
      <w:r w:rsidR="00722399" w:rsidRPr="00794AA7">
        <w:rPr>
          <w:rStyle w:val="Hyperlink"/>
          <w:rFonts w:ascii="Calibri" w:hAnsi="Calibri" w:cs="Calibri"/>
          <w:b/>
          <w:bCs/>
          <w:i/>
          <w:iCs/>
          <w:sz w:val="20"/>
          <w:szCs w:val="20"/>
          <w:lang w:val="fr-FR"/>
        </w:rPr>
        <w:fldChar w:fldCharType="end"/>
      </w:r>
      <w:r w:rsidR="00E23E5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)</w:t>
      </w:r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, qui met en </w:t>
      </w:r>
      <w:r w:rsidR="009C2E82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lumière</w:t>
      </w:r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 la manière dont les </w:t>
      </w:r>
      <w:proofErr w:type="spellStart"/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ransomwares</w:t>
      </w:r>
      <w:proofErr w:type="spellEnd"/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 et les comportements rapidement changeant</w:t>
      </w:r>
      <w:r w:rsidR="003D1912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s</w:t>
      </w:r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 des attaquants, quel que soit leur niveau, va façonner le paysage des menaces et de la sécurité IT en 2021. </w:t>
      </w:r>
      <w:r w:rsidR="00E64ACE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C</w:t>
      </w:r>
      <w:r w:rsidR="00EF0075"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>e rapport</w:t>
      </w:r>
      <w:r w:rsidRPr="00794AA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 </w:t>
      </w:r>
      <w:r w:rsidR="00EF0075" w:rsidRPr="00794AA7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fournit une perspective en trois dimensions sur les menaces et les tendances en matière de sécurité, depuis leur </w:t>
      </w:r>
      <w:r w:rsidR="009C2E82" w:rsidRPr="00794AA7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>conception</w:t>
      </w:r>
      <w:r w:rsidR="00EF0075" w:rsidRPr="00794AA7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fr-FR"/>
        </w:rPr>
        <w:t xml:space="preserve"> jusqu’à leur impact dans le monde réel.</w:t>
      </w:r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</w:p>
    <w:p w14:paraId="7E7EA88F" w14:textId="5BBD89A4" w:rsidR="00051C88" w:rsidRPr="00794AA7" w:rsidRDefault="00051C88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74442182" w14:textId="1F44E4E2" w:rsidR="00EF0075" w:rsidRPr="00794AA7" w:rsidRDefault="00EF0075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Les trois tendances majeures analysées au sein du </w:t>
      </w:r>
      <w:proofErr w:type="spellStart"/>
      <w:r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>Sophos</w:t>
      </w:r>
      <w:proofErr w:type="spellEnd"/>
      <w:r w:rsidR="00136518"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> 2021</w:t>
      </w:r>
      <w:r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>Threat</w:t>
      </w:r>
      <w:proofErr w:type="spellEnd"/>
      <w:r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 xml:space="preserve"> Report </w:t>
      </w:r>
      <w:r w:rsidR="0011136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sont </w:t>
      </w:r>
      <w:proofErr w:type="gramStart"/>
      <w:r w:rsidR="0011136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le suivantes</w:t>
      </w:r>
      <w:proofErr w:type="gramEnd"/>
      <w:r w:rsidR="0011136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:</w:t>
      </w:r>
    </w:p>
    <w:p w14:paraId="3310377A" w14:textId="77777777" w:rsidR="00A162E1" w:rsidRPr="00794AA7" w:rsidRDefault="00A162E1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03A26556" w14:textId="77777777" w:rsidR="00794AA7" w:rsidRPr="00794AA7" w:rsidRDefault="00EF0075" w:rsidP="00794AA7">
      <w:pPr>
        <w:pStyle w:val="Lijstalinea"/>
        <w:numPr>
          <w:ilvl w:val="0"/>
          <w:numId w:val="12"/>
        </w:numPr>
        <w:spacing w:after="0" w:afterAutospacing="0"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Le fossé entre les opérateurs de </w:t>
      </w:r>
      <w:proofErr w:type="spellStart"/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ransomwares</w:t>
      </w:r>
      <w:proofErr w:type="spellEnd"/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</w:t>
      </w:r>
      <w:r w:rsidR="00E23E5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situés aux deux extrémités du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spectre</w:t>
      </w:r>
      <w:r w:rsidR="00E23E5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en matière de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compétences et de ressources va se creuser.</w:t>
      </w:r>
    </w:p>
    <w:p w14:paraId="1490C47A" w14:textId="06A1AE25" w:rsidR="00EF0075" w:rsidRPr="00794AA7" w:rsidRDefault="00A4224F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L</w:t>
      </w:r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es familles </w:t>
      </w:r>
      <w:r w:rsidR="00E23E5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de criminels hautement compétentes et dotées de </w:t>
      </w:r>
      <w:r w:rsidR="00264E1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nombreuses</w:t>
      </w:r>
      <w:r w:rsidR="00E23E5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ressources qui utilisent des</w:t>
      </w:r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ransomwares</w:t>
      </w:r>
      <w:proofErr w:type="spellEnd"/>
      <w:r w:rsidR="00EF007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="00E23E5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v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ont continuer à affiner et à modifier leurs tactiques, techniques et procédures (TTP) en matière de </w:t>
      </w:r>
      <w:r w:rsidR="00E23E55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pêche au gros</w:t>
      </w:r>
      <w:r w:rsidR="00264E1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. Cela va leur permettre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d’échapper plus facilement à la détection et d</w:t>
      </w:r>
      <w:r w:rsidR="0090789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’atteindre le même niveau de s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ophistication que </w:t>
      </w:r>
      <w:r w:rsidR="0090789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certain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s États-nations, en ciblant des entreprises</w:t>
      </w:r>
      <w:r w:rsidR="0090789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de plus grande envergure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et en émettant des demandes de rançons qui atteindront plusieurs millions d’euros. 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À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l’autre extrémité du spectre, </w:t>
      </w:r>
      <w:proofErr w:type="spellStart"/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Sophos</w:t>
      </w:r>
      <w:proofErr w:type="spellEnd"/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s’attend à une hausse du nombre d’attaquants de faible envergure et 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dotés de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compéten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ce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s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élémentaires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, 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cherchant à mettre la main sur des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</w:t>
      </w:r>
      <w:proofErr w:type="spellStart"/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ransomwares</w:t>
      </w:r>
      <w:proofErr w:type="spellEnd"/>
      <w:r w:rsidR="006C1C62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as-a-service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et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équipés d’un menu 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contre des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somme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s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 xml:space="preserve"> modique</w:t>
      </w:r>
      <w:r w:rsidR="00907897"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s</w:t>
      </w:r>
      <w:r w:rsidRPr="00794AA7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  <w:lang w:val="fr-FR"/>
        </w:rPr>
        <w:t>.</w:t>
      </w:r>
    </w:p>
    <w:p w14:paraId="5FAF727E" w14:textId="77777777" w:rsidR="00A162E1" w:rsidRPr="00794AA7" w:rsidRDefault="00A162E1" w:rsidP="00794AA7">
      <w:pPr>
        <w:pStyle w:val="Lijstalinea"/>
        <w:spacing w:after="0" w:afterAutospacing="0" w:line="360" w:lineRule="auto"/>
        <w:ind w:left="0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2D4DBD9E" w14:textId="2680AB1A" w:rsidR="00A4224F" w:rsidRPr="00794AA7" w:rsidRDefault="00A4224F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Une autre </w:t>
      </w:r>
      <w:hyperlink r:id="rId12" w:history="1"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tendance</w:t>
        </w:r>
        <w:r w:rsidR="0090789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 xml:space="preserve"> </w:t>
        </w:r>
        <w:r w:rsidR="00343071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s’appuie</w:t>
        </w:r>
        <w:r w:rsidR="0014772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 xml:space="preserve"> </w:t>
        </w:r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sur</w:t>
        </w:r>
        <w:r w:rsidR="0014772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 xml:space="preserve"> le recours à</w:t>
        </w:r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 xml:space="preserve"> </w:t>
        </w:r>
        <w:r w:rsidR="0014772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« </w:t>
        </w:r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l’extor</w:t>
        </w:r>
        <w:r w:rsidR="0014772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si</w:t>
        </w:r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on secondair</w:t>
        </w:r>
        <w:r w:rsidR="00147727"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e »</w:t>
        </w:r>
      </w:hyperlink>
      <w:r w:rsidR="0090789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 ;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en plus d</w:t>
      </w:r>
      <w:r w:rsidR="0014772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u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chiffre</w:t>
      </w:r>
      <w:r w:rsidR="0014772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ment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="0014772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d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es données, les attaquants </w:t>
      </w:r>
      <w:r w:rsidR="0090789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dérob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ent </w:t>
      </w:r>
      <w:r w:rsidR="002500AC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des informations sensibles ou confidentielles 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et menacent de </w:t>
      </w:r>
      <w:r w:rsidR="002500AC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les 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rendre publiques si leurs exigences ne sont pas satisfaites. </w:t>
      </w:r>
    </w:p>
    <w:p w14:paraId="6A248F71" w14:textId="77777777" w:rsidR="00DD4F8F" w:rsidRPr="00794AA7" w:rsidRDefault="00DD4F8F" w:rsidP="00794AA7">
      <w:pPr>
        <w:spacing w:line="360" w:lineRule="auto"/>
        <w:ind w:left="360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0EC281B4" w14:textId="19413529" w:rsidR="00A4224F" w:rsidRPr="00794AA7" w:rsidRDefault="00907897" w:rsidP="00794AA7">
      <w:pPr>
        <w:spacing w:line="360" w:lineRule="auto"/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« 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Le modèle commercial des </w:t>
      </w:r>
      <w:proofErr w:type="spellStart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ransomwares</w:t>
      </w:r>
      <w:proofErr w:type="spellEnd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est dynamique et complexe. Au cours de l’année 2020, </w:t>
      </w:r>
      <w:proofErr w:type="spellStart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Sophos</w:t>
      </w:r>
      <w:proofErr w:type="spellEnd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a constaté une tendance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claire 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chez les criminels à se différencier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en fonction de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leur degré de compétences et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des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cibles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qu’ils choisissent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. Toutefois, nous avons également vu des familles d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e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ransomwares</w:t>
      </w:r>
      <w:proofErr w:type="spellEnd"/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partager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avec d’autres 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des outils </w:t>
      </w:r>
      <w:r w:rsidR="00111365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de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grande </w:t>
      </w:r>
      <w:r w:rsidR="001941AD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qualité et former des “cartels” collaboratifs</w:t>
      </w:r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dotés d’un fonctionnement propre</w:t>
      </w:r>
      <w:r w:rsidR="001941AD"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, »</w:t>
      </w:r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 xml:space="preserve"> déclare Chester </w:t>
      </w:r>
      <w:proofErr w:type="spellStart"/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Wisniewski</w:t>
      </w:r>
      <w:proofErr w:type="spellEnd"/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 xml:space="preserve">, principal chercheur chez </w:t>
      </w:r>
      <w:proofErr w:type="spellStart"/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. « </w:t>
      </w:r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Certains, comme Maze, semblent plier bagage et se diriger vers une vie d’oisiveté ; toutefois, certains de leurs outils et techniques ont refait surface sous un nouveau nom, </w:t>
      </w:r>
      <w:proofErr w:type="spellStart"/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Egregor</w:t>
      </w:r>
      <w:proofErr w:type="spellEnd"/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. Le paysage des </w:t>
      </w:r>
      <w:proofErr w:type="spellStart"/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cybermenaces</w:t>
      </w:r>
      <w:proofErr w:type="spellEnd"/>
      <w:r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a horreur du vide. Lorsqu’une menace disparaît, une autre vient rapidement prendre sa place. Sous bien des aspects, il est presque impossible de prédire </w:t>
      </w:r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la voie qu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’empruntera </w:t>
      </w:r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un </w:t>
      </w:r>
      <w:proofErr w:type="spellStart"/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ransomware</w:t>
      </w:r>
      <w:proofErr w:type="spellEnd"/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, mais les tendances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e</w:t>
      </w:r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n matière d’attaques </w:t>
      </w:r>
      <w:r w:rsidR="00136518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>observ</w:t>
      </w:r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ées dans le </w:t>
      </w:r>
      <w:hyperlink r:id="rId13" w:history="1">
        <w:r w:rsidR="00A14C5F" w:rsidRPr="00794AA7">
          <w:rPr>
            <w:rStyle w:val="Hyperlink"/>
            <w:rFonts w:ascii="Calibri" w:eastAsia="Calibri" w:hAnsi="Calibri" w:cs="Calibri"/>
            <w:i/>
            <w:sz w:val="20"/>
            <w:szCs w:val="20"/>
            <w:lang w:val="fr-FR"/>
          </w:rPr>
          <w:t xml:space="preserve">rapport sur les menaces de </w:t>
        </w:r>
        <w:proofErr w:type="spellStart"/>
        <w:r w:rsidR="00A14C5F" w:rsidRPr="00794AA7">
          <w:rPr>
            <w:rStyle w:val="Hyperlink"/>
            <w:rFonts w:ascii="Calibri" w:eastAsia="Calibri" w:hAnsi="Calibri" w:cs="Calibri"/>
            <w:i/>
            <w:sz w:val="20"/>
            <w:szCs w:val="20"/>
            <w:lang w:val="fr-FR"/>
          </w:rPr>
          <w:t>Sophos</w:t>
        </w:r>
        <w:proofErr w:type="spellEnd"/>
      </w:hyperlink>
      <w:r w:rsidR="00A14C5F" w:rsidRPr="00794AA7">
        <w:rPr>
          <w:rFonts w:ascii="Calibri" w:eastAsia="Calibri" w:hAnsi="Calibri" w:cs="Calibri"/>
          <w:i/>
          <w:color w:val="000000" w:themeColor="text1"/>
          <w:sz w:val="20"/>
          <w:szCs w:val="20"/>
          <w:lang w:val="fr-FR"/>
        </w:rPr>
        <w:t xml:space="preserve"> cette année sont susceptibles de se poursuivre en 2021</w:t>
      </w:r>
      <w:r w:rsidR="00A14C5F"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>. »</w:t>
      </w:r>
    </w:p>
    <w:p w14:paraId="6E005899" w14:textId="77777777" w:rsidR="00BB4B21" w:rsidRPr="00794AA7" w:rsidRDefault="00BB4B21" w:rsidP="00794AA7">
      <w:pPr>
        <w:pStyle w:val="Lijstalinea"/>
        <w:spacing w:after="0" w:afterAutospacing="0" w:line="360" w:lineRule="auto"/>
        <w:ind w:left="360"/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</w:p>
    <w:p w14:paraId="027425D8" w14:textId="77777777" w:rsidR="00794AA7" w:rsidRPr="00794AA7" w:rsidRDefault="001941AD" w:rsidP="00794AA7">
      <w:pPr>
        <w:pStyle w:val="Lijstalinea"/>
        <w:numPr>
          <w:ilvl w:val="0"/>
          <w:numId w:val="12"/>
        </w:numPr>
        <w:spacing w:after="0" w:afterAutospacing="0" w:line="360" w:lineRule="auto"/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  <w:r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Les menaces </w:t>
      </w:r>
      <w:r w:rsidR="00136518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>quotidiennes</w:t>
      </w:r>
      <w:r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 comme les malwares de base, </w:t>
      </w:r>
      <w:r w:rsidR="00F735D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>notamment de type</w:t>
      </w:r>
      <w:r w:rsidRPr="00794AA7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fr-FR" w:eastAsia="en-GB"/>
        </w:rPr>
        <w:t xml:space="preserve"> </w:t>
      </w:r>
      <w:r w:rsidR="00961B70" w:rsidRPr="00794AA7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fr-FR" w:eastAsia="en-GB"/>
        </w:rPr>
        <w:t>loaders</w:t>
      </w:r>
      <w:r w:rsidR="00961B70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 et </w:t>
      </w:r>
      <w:proofErr w:type="spellStart"/>
      <w:r w:rsidR="00961B70" w:rsidRPr="00794AA7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fr-FR" w:eastAsia="en-GB"/>
        </w:rPr>
        <w:t>botnets</w:t>
      </w:r>
      <w:proofErr w:type="spellEnd"/>
      <w:r w:rsidR="00961B70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, ou encore les </w:t>
      </w:r>
      <w:r w:rsidR="009807A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opérations </w:t>
      </w:r>
      <w:r w:rsidR="00F735D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menées par des individus </w:t>
      </w:r>
      <w:r w:rsidR="009807A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visant à gagner un accès initial à un réseau avant de le </w:t>
      </w:r>
      <w:r w:rsidR="009807A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lastRenderedPageBreak/>
        <w:t>revendre (</w:t>
      </w:r>
      <w:r w:rsidR="009807AA" w:rsidRPr="00794AA7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fr-FR" w:eastAsia="en-GB"/>
        </w:rPr>
        <w:t>Initial</w:t>
      </w:r>
      <w:r w:rsidR="00F735DA" w:rsidRPr="00794AA7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val="fr-FR" w:eastAsia="en-GB"/>
        </w:rPr>
        <w:t xml:space="preserve"> Access Brokers</w:t>
      </w:r>
      <w:r w:rsidR="00F735DA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>)</w:t>
      </w:r>
      <w:r w:rsidR="00961B70" w:rsidRPr="00794AA7">
        <w:rPr>
          <w:rFonts w:ascii="Calibri" w:hAnsi="Calibri" w:cs="Calibri"/>
          <w:b/>
          <w:bCs/>
          <w:color w:val="000000" w:themeColor="text1"/>
          <w:sz w:val="20"/>
          <w:szCs w:val="20"/>
          <w:lang w:val="fr-FR" w:eastAsia="en-GB"/>
        </w:rPr>
        <w:t xml:space="preserve">, nécessiteront une attention particulière de la part des équipes de sécurité. </w:t>
      </w:r>
    </w:p>
    <w:p w14:paraId="275656D7" w14:textId="5D78E849" w:rsidR="001941AD" w:rsidRPr="00794AA7" w:rsidRDefault="00961B70" w:rsidP="00794AA7">
      <w:pPr>
        <w:spacing w:line="360" w:lineRule="auto"/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</w:pP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Ces menaces peuvent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ressembler à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un brouillard diffus de logiciels malveillants peu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développ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és, mais elles sont conçues pour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garanti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r un point d’entr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ée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au sein d’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un système cibl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,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afin de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collecter des données essentielles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ou 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de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partager des informations vers un réseau </w:t>
      </w:r>
      <w:r w:rsidRPr="00794AA7"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  <w:t>command-and-control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qui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leur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fournir</w:t>
      </w:r>
      <w:r w:rsidR="00136518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a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par la suite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des instructions supplémentaires. Si des opérateurs humains sont à l’origine de ces menaces, ils passent en revue chaque appareil infecté en fonction de sa géolocalisation et d’autres signes de valeur, puis ils vend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nt 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un 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accès aux cibles les plus lucratives au plus offrant, comme un opérat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eur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de </w:t>
      </w:r>
      <w:proofErr w:type="spellStart"/>
      <w:proofErr w:type="gramStart"/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ransomware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s</w:t>
      </w:r>
      <w:proofErr w:type="spellEnd"/>
      <w:proofErr w:type="gramEnd"/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de grande envergure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. À titre d’exemple</w:t>
      </w:r>
      <w:r w:rsidR="00F735DA"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>,</w:t>
      </w:r>
      <w:r w:rsidRPr="00794AA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en 2020, </w:t>
      </w:r>
      <w:hyperlink r:id="rId14">
        <w:proofErr w:type="spellStart"/>
        <w:r w:rsidRPr="00794AA7">
          <w:rPr>
            <w:rStyle w:val="Hyperlink"/>
            <w:rFonts w:ascii="Calibri" w:eastAsia="Calibri" w:hAnsi="Calibri" w:cs="Calibri"/>
            <w:sz w:val="20"/>
            <w:szCs w:val="20"/>
            <w:lang w:val="fr-FR"/>
          </w:rPr>
          <w:t>Ryuk</w:t>
        </w:r>
        <w:proofErr w:type="spellEnd"/>
      </w:hyperlink>
      <w:r w:rsidRPr="00794AA7">
        <w:rPr>
          <w:rFonts w:ascii="Calibri" w:eastAsia="Calibri" w:hAnsi="Calibri" w:cs="Calibri"/>
          <w:color w:val="000000" w:themeColor="text1"/>
          <w:sz w:val="20"/>
          <w:szCs w:val="20"/>
          <w:lang w:val="fr-FR"/>
        </w:rPr>
        <w:t xml:space="preserve"> a utilisé </w:t>
      </w:r>
      <w:r w:rsidR="00F735DA" w:rsidRPr="00794AA7">
        <w:rPr>
          <w:rStyle w:val="Hyperlink"/>
          <w:rFonts w:ascii="Calibri" w:eastAsia="Calibri" w:hAnsi="Calibri" w:cs="Calibri"/>
          <w:sz w:val="20"/>
          <w:szCs w:val="20"/>
          <w:lang w:val="fr-FR"/>
        </w:rPr>
        <w:t xml:space="preserve">le </w:t>
      </w:r>
      <w:r w:rsidR="00F735DA" w:rsidRPr="00794AA7">
        <w:rPr>
          <w:rStyle w:val="Hyperlink"/>
          <w:rFonts w:ascii="Calibri" w:eastAsia="Calibri" w:hAnsi="Calibri" w:cs="Calibri"/>
          <w:i/>
          <w:iCs/>
          <w:sz w:val="20"/>
          <w:szCs w:val="20"/>
          <w:lang w:val="fr-FR"/>
        </w:rPr>
        <w:t>loader</w:t>
      </w:r>
      <w:r w:rsidR="00F735DA" w:rsidRPr="00794AA7">
        <w:rPr>
          <w:rStyle w:val="Hyperlink"/>
          <w:rFonts w:ascii="Calibri" w:eastAsia="Calibri" w:hAnsi="Calibri" w:cs="Calibri"/>
          <w:sz w:val="20"/>
          <w:szCs w:val="20"/>
          <w:lang w:val="fr-FR"/>
        </w:rPr>
        <w:t xml:space="preserve"> Buer afin</w:t>
      </w:r>
      <w:r w:rsidRPr="00794AA7">
        <w:rPr>
          <w:rStyle w:val="Hyperlink"/>
          <w:rFonts w:ascii="Calibri" w:eastAsia="Calibri" w:hAnsi="Calibri" w:cs="Calibri"/>
          <w:sz w:val="20"/>
          <w:szCs w:val="20"/>
          <w:lang w:val="fr-FR"/>
        </w:rPr>
        <w:t xml:space="preserve"> de disséminer son </w:t>
      </w:r>
      <w:proofErr w:type="spellStart"/>
      <w:r w:rsidRPr="00794AA7">
        <w:rPr>
          <w:rStyle w:val="Hyperlink"/>
          <w:rFonts w:ascii="Calibri" w:eastAsia="Calibri" w:hAnsi="Calibri" w:cs="Calibri"/>
          <w:sz w:val="20"/>
          <w:szCs w:val="20"/>
          <w:lang w:val="fr-FR"/>
        </w:rPr>
        <w:t>ransomware</w:t>
      </w:r>
      <w:proofErr w:type="spellEnd"/>
      <w:r w:rsidRPr="00794AA7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  <w:lang w:val="fr-FR"/>
        </w:rPr>
        <w:t>.</w:t>
      </w:r>
    </w:p>
    <w:p w14:paraId="054660CF" w14:textId="77777777" w:rsidR="000A7734" w:rsidRPr="00794AA7" w:rsidRDefault="000A7734" w:rsidP="00794AA7">
      <w:pPr>
        <w:pStyle w:val="Lijstalinea"/>
        <w:spacing w:after="0" w:afterAutospacing="0" w:line="360" w:lineRule="auto"/>
        <w:ind w:left="360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081DB92C" w14:textId="75A13504" w:rsidR="00852ABF" w:rsidRPr="00794AA7" w:rsidRDefault="00F735DA" w:rsidP="00794AA7">
      <w:pPr>
        <w:pStyle w:val="Lijstalinea"/>
        <w:spacing w:after="0" w:afterAutospacing="0" w:line="360" w:lineRule="auto"/>
        <w:ind w:left="0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« 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Les malwares de base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peuvent être </w:t>
      </w:r>
      <w:r w:rsidR="00136518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perçus comme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une tempête de sable faite de petites particules qui viennent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gripper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les rouages d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’un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système 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en charge des 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alertes de sécurité. D’après les analyses de </w:t>
      </w:r>
      <w:proofErr w:type="spellStart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Sophos</w:t>
      </w:r>
      <w:proofErr w:type="spellEnd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, il est clair que les défenseurs doivent prendre ces attaques au sérieux, en raison de 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leurs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débouchés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possibles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.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Une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infection peut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mener à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tous les autres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types d’infection. Beaucoup d’équipes de sécurité ont l’impression qu’un incident a été empêché une fois qu’un malware a été bloqué ou supprimé et que la machine infectée a été nettoyée,</w:t>
      </w:r>
      <w:r w:rsidR="00852AB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 » déclare </w:t>
      </w:r>
      <w:proofErr w:type="spellStart"/>
      <w:r w:rsidR="00852AB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Wisniewski</w:t>
      </w:r>
      <w:proofErr w:type="spellEnd"/>
      <w:r w:rsidR="00852AB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. 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« Il est possible qu’elles n’aient pas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perçu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que l’attaque visait plus d’une seule machine et que des malware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qui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peuvent 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semble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élémentaires, comme </w:t>
      </w:r>
      <w:proofErr w:type="spellStart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Emotet</w:t>
      </w:r>
      <w:proofErr w:type="spellEnd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ou 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le </w:t>
      </w:r>
      <w:r w:rsidRPr="00794AA7">
        <w:rPr>
          <w:rFonts w:ascii="Calibri" w:eastAsia="Calibri" w:hAnsi="Calibri" w:cs="Calibri"/>
          <w:bCs/>
          <w:i/>
          <w:iCs/>
          <w:color w:val="000000" w:themeColor="text1"/>
          <w:sz w:val="20"/>
          <w:szCs w:val="20"/>
          <w:lang w:val="fr-FR"/>
        </w:rPr>
        <w:t>loader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Bu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,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sont s</w:t>
      </w:r>
      <w:r w:rsidR="0011136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u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sceptibles de mener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à des attaques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par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Ryuk</w:t>
      </w:r>
      <w:proofErr w:type="spellEnd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Netwalker</w:t>
      </w:r>
      <w:proofErr w:type="spellEnd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ou d’autres malwares avancés.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Parfois, l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départements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IT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ne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le remarque</w:t>
      </w:r>
      <w:r w:rsidR="007E55B6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nt pas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jusqu’à ce que le </w:t>
      </w:r>
      <w:proofErr w:type="spellStart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ransomware</w:t>
      </w:r>
      <w:proofErr w:type="spellEnd"/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soit </w:t>
      </w:r>
      <w:hyperlink r:id="rId15" w:history="1">
        <w:r w:rsidR="00852ABF" w:rsidRPr="00794AA7">
          <w:rPr>
            <w:rStyle w:val="Hyperlink"/>
            <w:rFonts w:ascii="Calibri" w:eastAsia="Calibri" w:hAnsi="Calibri" w:cs="Calibri"/>
            <w:bCs/>
            <w:i/>
            <w:sz w:val="20"/>
            <w:szCs w:val="20"/>
            <w:lang w:val="fr-FR"/>
          </w:rPr>
          <w:t>déployé</w:t>
        </w:r>
      </w:hyperlink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 et cela peut arriver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au milieu de la nuit ou au cours du week-end. Le fait de sous-estimer des infections </w:t>
      </w:r>
      <w:r w:rsidR="0019696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considérées comme</w:t>
      </w:r>
      <w:r w:rsidR="00852ABF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“mineures” peut coûter très cher. </w:t>
      </w:r>
      <w:r w:rsidR="00852ABF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»</w:t>
      </w:r>
    </w:p>
    <w:p w14:paraId="06C5BA86" w14:textId="77777777" w:rsidR="0056727B" w:rsidRPr="00794AA7" w:rsidRDefault="0056727B" w:rsidP="00794AA7">
      <w:pPr>
        <w:pStyle w:val="Lijstalinea"/>
        <w:spacing w:after="0" w:afterAutospacing="0" w:line="360" w:lineRule="auto"/>
        <w:ind w:left="0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1273935E" w14:textId="77777777" w:rsidR="00794AA7" w:rsidRDefault="008F1DA5" w:rsidP="00794AA7">
      <w:pPr>
        <w:pStyle w:val="Lijstalinea"/>
        <w:numPr>
          <w:ilvl w:val="0"/>
          <w:numId w:val="12"/>
        </w:numPr>
        <w:spacing w:after="0" w:afterAutospacing="0"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Les attaquants de tou</w:t>
      </w:r>
      <w:r w:rsidR="007E55B6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s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</w:t>
      </w:r>
      <w:r w:rsidR="007E55B6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niveaux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vont </w:t>
      </w:r>
      <w:r w:rsidR="0019696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de plus en plus souvent détourner 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d</w:t>
      </w:r>
      <w:r w:rsidR="0019696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es 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outils légitimes, de</w:t>
      </w:r>
      <w:r w:rsidR="0019696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s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services publics bien connus et de</w:t>
      </w:r>
      <w:r w:rsidR="00196965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s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réseaux habituels pour éviter la détection</w:t>
      </w:r>
      <w:r w:rsidR="00CC662E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, </w:t>
      </w:r>
      <w:r w:rsidR="00FC72C8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déjouer</w:t>
      </w:r>
      <w:r w:rsidR="00CC662E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 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 xml:space="preserve">les mesures de sécurité et empêcher </w:t>
      </w:r>
      <w:r w:rsidR="00000E33"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l’</w:t>
      </w:r>
      <w:r w:rsidRPr="00794AA7">
        <w:rPr>
          <w:rFonts w:ascii="Calibri" w:eastAsia="Calibri" w:hAnsi="Calibri" w:cs="Calibri"/>
          <w:b/>
          <w:color w:val="000000" w:themeColor="text1"/>
          <w:sz w:val="20"/>
          <w:szCs w:val="20"/>
          <w:lang w:val="fr-FR"/>
        </w:rPr>
        <w:t>analyse et l’attribution des attaques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. </w:t>
      </w:r>
    </w:p>
    <w:p w14:paraId="7B6E5376" w14:textId="06234751" w:rsidR="008F1DA5" w:rsidRPr="00794AA7" w:rsidRDefault="008F1DA5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L’utilisation abusive d’outils légitimes permet aux criminels d’éviter d’être détectés lorsqu’ils opèrent sur un réseau jusqu’à ce qu’ils soient prêts à </w:t>
      </w:r>
      <w:r w:rsidR="009A00D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lancer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r w:rsidR="009A00D7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la phase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principale d’une attaque, comme la dissémination d’un </w:t>
      </w:r>
      <w:proofErr w:type="spellStart"/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ransomware</w:t>
      </w:r>
      <w:proofErr w:type="spellEnd"/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. Pour les attaquants sponsorisés par des États-nations, un avantage supplémentaire consiste à rendre difficile l’attribution d’une attaque. En 2020, </w:t>
      </w:r>
      <w:proofErr w:type="spellStart"/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a publié </w:t>
      </w:r>
      <w:r w:rsidR="009312E9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un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</w:t>
      </w:r>
      <w:hyperlink r:id="rId16" w:history="1">
        <w:r w:rsidRPr="00794AA7">
          <w:rPr>
            <w:rStyle w:val="Hyperlink"/>
            <w:rFonts w:ascii="Calibri" w:eastAsia="Calibri" w:hAnsi="Calibri" w:cs="Calibri"/>
            <w:bCs/>
            <w:sz w:val="20"/>
            <w:szCs w:val="20"/>
            <w:lang w:val="fr-FR"/>
          </w:rPr>
          <w:t>rapport</w:t>
        </w:r>
      </w:hyperlink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sur le grand nombre d’outils standards qui sont à présent </w:t>
      </w:r>
      <w:r w:rsidR="00446E7B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détournés</w:t>
      </w: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 par les cybercriminels.</w:t>
      </w:r>
    </w:p>
    <w:p w14:paraId="367E849D" w14:textId="7B51437F" w:rsidR="006B79FB" w:rsidRPr="00794AA7" w:rsidRDefault="006B79FB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4B1F557A" w14:textId="75322030" w:rsidR="003D1912" w:rsidRPr="00794AA7" w:rsidRDefault="002A202B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  <w:r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« 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L’utilisation détournée des outils et techniques </w:t>
      </w:r>
      <w:r w:rsidR="00446E7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d’utilisation 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quotidienn</w:t>
      </w:r>
      <w:r w:rsidR="00446E7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pour déguiser une attaque active </w:t>
      </w:r>
      <w:r w:rsidR="001F64B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est un sujet longuement abordé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au sein d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’une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hyperlink r:id="rId17" w:history="1">
        <w:r w:rsidRPr="00794AA7">
          <w:rPr>
            <w:rStyle w:val="Hyperlink"/>
            <w:rFonts w:ascii="Calibri" w:eastAsia="Calibri" w:hAnsi="Calibri" w:cs="Calibri"/>
            <w:bCs/>
            <w:i/>
            <w:sz w:val="20"/>
            <w:szCs w:val="20"/>
            <w:lang w:val="fr-FR"/>
          </w:rPr>
          <w:t>étude</w:t>
        </w:r>
      </w:hyperlink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menée 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par </w:t>
      </w:r>
      <w:proofErr w:type="spellStart"/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Sophos</w:t>
      </w:r>
      <w:proofErr w:type="spellEnd"/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sur le paysage d</w:t>
      </w:r>
      <w:r w:rsidR="00446E7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</w:t>
      </w:r>
      <w:r w:rsidR="008F1DA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s menaces en 2020. Cette méthode remet en question les approches sécuritaires traditionnelles, car l’apparition d’outils connus ne déclenche pas automatiquement une alerte. C’est 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là que le domaine de la chasse aux menaces et de l’intervention managée, qui connaît</w:t>
      </w:r>
      <w:r w:rsidR="001F64B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actuellement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une croissance rapide, </w:t>
      </w:r>
      <w:r w:rsidR="00446E7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montre pleinement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son </w:t>
      </w:r>
      <w:r w:rsidR="00446E7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utilité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,</w:t>
      </w:r>
      <w:r w:rsidR="00377DEB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 » déclare </w:t>
      </w:r>
      <w:proofErr w:type="spellStart"/>
      <w:r w:rsidR="00377DEB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Wisniewski</w:t>
      </w:r>
      <w:proofErr w:type="spellEnd"/>
      <w:r w:rsidR="00377DEB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 xml:space="preserve">. 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« Les experts savent</w:t>
      </w:r>
      <w:r w:rsidR="001F64B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concentrer leurs recherches sur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="001F64B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certain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es anomalies et</w:t>
      </w:r>
      <w:r w:rsidR="001F64B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autres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 xml:space="preserve"> traces subtiles, comme un outil légitime utilisé au mauvais moment ou au mauvais endroit. Pour les chasseurs de 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lastRenderedPageBreak/>
        <w:t xml:space="preserve">menaces et les managers IT formés à l’utilisation de fonctionnalités de </w:t>
      </w:r>
      <w:r w:rsidR="00111365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l’</w:t>
      </w:r>
      <w:r w:rsidR="00377DEB" w:rsidRPr="00794AA7">
        <w:rPr>
          <w:rFonts w:ascii="Calibri" w:eastAsia="Calibri" w:hAnsi="Calibri" w:cs="Calibri"/>
          <w:bCs/>
          <w:i/>
          <w:color w:val="000000" w:themeColor="text1"/>
          <w:sz w:val="20"/>
          <w:szCs w:val="20"/>
          <w:lang w:val="fr-FR"/>
        </w:rPr>
        <w:t>EDR), ces indications sont autant de signaux d’alerte qui permettent aux équipes de sécurité de détecter un intrus potentiel ou une attaque en cours</w:t>
      </w:r>
      <w:r w:rsidR="00377DEB" w:rsidRPr="00794AA7"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  <w:t>. »</w:t>
      </w:r>
    </w:p>
    <w:p w14:paraId="0C1EF839" w14:textId="77777777" w:rsidR="003D1912" w:rsidRPr="00794AA7" w:rsidRDefault="003D1912" w:rsidP="00794AA7">
      <w:pPr>
        <w:spacing w:line="360" w:lineRule="auto"/>
        <w:rPr>
          <w:rFonts w:ascii="Calibri" w:eastAsia="Calibri" w:hAnsi="Calibri" w:cs="Calibri"/>
          <w:bCs/>
          <w:color w:val="000000" w:themeColor="text1"/>
          <w:sz w:val="20"/>
          <w:szCs w:val="20"/>
          <w:lang w:val="fr-FR"/>
        </w:rPr>
      </w:pPr>
    </w:p>
    <w:p w14:paraId="03F1E908" w14:textId="344E7433" w:rsidR="003D1912" w:rsidRPr="00794AA7" w:rsidRDefault="00377DEB" w:rsidP="00794AA7">
      <w:pPr>
        <w:shd w:val="clear" w:color="auto" w:fill="FCFCFC"/>
        <w:spacing w:line="360" w:lineRule="auto"/>
        <w:textAlignment w:val="baseline"/>
        <w:rPr>
          <w:rFonts w:ascii="Calibri" w:hAnsi="Calibri" w:cs="Calibri"/>
          <w:b/>
          <w:bCs/>
          <w:sz w:val="20"/>
          <w:szCs w:val="20"/>
          <w:lang w:val="fr-FR"/>
        </w:rPr>
      </w:pPr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 xml:space="preserve">Les autres tendances analysées au sein du </w:t>
      </w:r>
      <w:proofErr w:type="spellStart"/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r w:rsidR="001F64B5" w:rsidRPr="00794AA7">
        <w:rPr>
          <w:rFonts w:ascii="Calibri" w:hAnsi="Calibri" w:cs="Calibri"/>
          <w:b/>
          <w:bCs/>
          <w:sz w:val="20"/>
          <w:szCs w:val="20"/>
          <w:lang w:val="fr-FR"/>
        </w:rPr>
        <w:t xml:space="preserve">2021 </w:t>
      </w:r>
      <w:proofErr w:type="spellStart"/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>Threat</w:t>
      </w:r>
      <w:proofErr w:type="spellEnd"/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 xml:space="preserve"> Report incluent :</w:t>
      </w:r>
    </w:p>
    <w:p w14:paraId="0AB67C9F" w14:textId="4B0DED71" w:rsidR="00377DEB" w:rsidRPr="00794AA7" w:rsidRDefault="00377DEB" w:rsidP="00794AA7">
      <w:pPr>
        <w:pStyle w:val="Lijstalinea"/>
        <w:numPr>
          <w:ilvl w:val="0"/>
          <w:numId w:val="5"/>
        </w:numPr>
        <w:spacing w:after="0" w:afterAutospacing="0"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>Les attaques sur les serveurs : les criminels cibl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ent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d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es plateformes de serveurs qui utilisent à la fois Windows et Linux et 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s’en servent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pour 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attaquer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des entreprises de l’intérieur</w:t>
      </w:r>
    </w:p>
    <w:p w14:paraId="555344A2" w14:textId="5EFD30A6" w:rsidR="00377DEB" w:rsidRPr="00794AA7" w:rsidRDefault="00377DEB" w:rsidP="00794AA7">
      <w:pPr>
        <w:pStyle w:val="Lijstalinea"/>
        <w:numPr>
          <w:ilvl w:val="0"/>
          <w:numId w:val="5"/>
        </w:numPr>
        <w:spacing w:after="0" w:afterAutospacing="0"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>L’impact de la pandémie de COVID-19 sur la sécurité IT, comme les défis sécuritaires liés au télétravail et à l’utilisation d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’une multitude de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réseaux personnels dotés d’une grande variété de couches de sécurité</w:t>
      </w:r>
    </w:p>
    <w:p w14:paraId="6C996E9D" w14:textId="723DAFE2" w:rsidR="00377DEB" w:rsidRPr="00794AA7" w:rsidRDefault="00377DEB" w:rsidP="00794AA7">
      <w:pPr>
        <w:pStyle w:val="Lijstalinea"/>
        <w:numPr>
          <w:ilvl w:val="0"/>
          <w:numId w:val="6"/>
        </w:numPr>
        <w:spacing w:after="0" w:afterAutospacing="0"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Les défis en matière de sécurité auxquels les environnements cloud font face : le cloud a répondu avec succès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à la demande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des entreprises qui avaient besoin d’environnements informatiques plus</w:t>
      </w:r>
      <w:r w:rsidR="005C3CFE" w:rsidRPr="00794AA7">
        <w:rPr>
          <w:rFonts w:ascii="Calibri" w:hAnsi="Calibri" w:cs="Calibri"/>
          <w:sz w:val="20"/>
          <w:szCs w:val="20"/>
          <w:lang w:val="fr-FR"/>
        </w:rPr>
        <w:t xml:space="preserve"> sûrs, mais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il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5C3CFE" w:rsidRPr="00794AA7">
        <w:rPr>
          <w:rFonts w:ascii="Calibri" w:hAnsi="Calibri" w:cs="Calibri"/>
          <w:sz w:val="20"/>
          <w:szCs w:val="20"/>
          <w:lang w:val="fr-FR"/>
        </w:rPr>
        <w:t>fait face à des défis différents de ceux d’un réseau d’entreprise traditionnel</w:t>
      </w:r>
    </w:p>
    <w:p w14:paraId="2AB55981" w14:textId="7EAAE52B" w:rsidR="005C3CFE" w:rsidRPr="00794AA7" w:rsidRDefault="005C3CFE" w:rsidP="00794AA7">
      <w:pPr>
        <w:pStyle w:val="Lijstalinea"/>
        <w:numPr>
          <w:ilvl w:val="0"/>
          <w:numId w:val="6"/>
        </w:numPr>
        <w:spacing w:after="0" w:afterAutospacing="0"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>Les services habituels, comme les protocoles de bureau à distance (RDP) et les concentrateurs VPN demeurent une cible préférentiel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le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pour les attaques sur le périmètre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 xml:space="preserve">d’un </w:t>
      </w:r>
      <w:r w:rsidRPr="00794AA7">
        <w:rPr>
          <w:rFonts w:ascii="Calibri" w:hAnsi="Calibri" w:cs="Calibri"/>
          <w:sz w:val="20"/>
          <w:szCs w:val="20"/>
          <w:lang w:val="fr-FR"/>
        </w:rPr>
        <w:t>réseau. Les attaqu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ant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s utilisent les RDP pour se déplacer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latéralement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au sein des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réseaux infiltrés</w:t>
      </w:r>
      <w:r w:rsidR="00506F13" w:rsidRPr="00794AA7">
        <w:rPr>
          <w:rFonts w:ascii="Calibri" w:hAnsi="Calibri" w:cs="Calibri"/>
          <w:sz w:val="20"/>
          <w:szCs w:val="20"/>
          <w:lang w:val="fr-FR"/>
        </w:rPr>
        <w:t>.</w:t>
      </w:r>
    </w:p>
    <w:p w14:paraId="23D197C9" w14:textId="3EC89866" w:rsidR="005C3CFE" w:rsidRPr="00794AA7" w:rsidRDefault="005C3CFE" w:rsidP="00794AA7">
      <w:pPr>
        <w:pStyle w:val="Lijstalinea"/>
        <w:numPr>
          <w:ilvl w:val="0"/>
          <w:numId w:val="6"/>
        </w:numPr>
        <w:spacing w:after="0" w:afterAutospacing="0"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Les applications logicielles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traditionnellement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désignées comme « potentiellement indésirables », car elles émett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ai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ent un grand nombre de publicités, mais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employaient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des tactiques qui sont de moi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n</w:t>
      </w:r>
      <w:r w:rsidRPr="00794AA7">
        <w:rPr>
          <w:rFonts w:ascii="Calibri" w:hAnsi="Calibri" w:cs="Calibri"/>
          <w:sz w:val="20"/>
          <w:szCs w:val="20"/>
          <w:lang w:val="fr-FR"/>
        </w:rPr>
        <w:t>s en mo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i</w:t>
      </w:r>
      <w:r w:rsidRPr="00794AA7">
        <w:rPr>
          <w:rFonts w:ascii="Calibri" w:hAnsi="Calibri" w:cs="Calibri"/>
          <w:sz w:val="20"/>
          <w:szCs w:val="20"/>
          <w:lang w:val="fr-FR"/>
        </w:rPr>
        <w:t>ns faciles à distinguer de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 xml:space="preserve"> celles des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logiciels ouvertement malveillants</w:t>
      </w:r>
    </w:p>
    <w:p w14:paraId="31E64B37" w14:textId="182B9351" w:rsidR="005C3CFE" w:rsidRPr="00794AA7" w:rsidRDefault="005C3CFE" w:rsidP="00794AA7">
      <w:pPr>
        <w:pStyle w:val="Lijstalinea"/>
        <w:numPr>
          <w:ilvl w:val="0"/>
          <w:numId w:val="4"/>
        </w:numPr>
        <w:shd w:val="clear" w:color="auto" w:fill="FCFCFC"/>
        <w:spacing w:after="0" w:afterAutospacing="0" w:line="360" w:lineRule="auto"/>
        <w:ind w:left="360"/>
        <w:textAlignment w:val="baseline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La réapparition surprenante d’un ancien bug,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VelvetSweatshop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– une fonctionnalité de mot de passe par défaut pour d’anciennes versions de Microsoft Excel – utilisé pour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>cacher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des macros et d’autres types de contenus malveillants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 xml:space="preserve">dans des documents 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et échapper </w:t>
      </w:r>
      <w:r w:rsidR="00446E7B" w:rsidRPr="00794AA7">
        <w:rPr>
          <w:rFonts w:ascii="Calibri" w:hAnsi="Calibri" w:cs="Calibri"/>
          <w:sz w:val="20"/>
          <w:szCs w:val="20"/>
          <w:lang w:val="fr-FR"/>
        </w:rPr>
        <w:t xml:space="preserve">ainsi </w:t>
      </w:r>
      <w:r w:rsidRPr="00794AA7">
        <w:rPr>
          <w:rFonts w:ascii="Calibri" w:hAnsi="Calibri" w:cs="Calibri"/>
          <w:sz w:val="20"/>
          <w:szCs w:val="20"/>
          <w:lang w:val="fr-FR"/>
        </w:rPr>
        <w:t>à la détection avancée des menaces</w:t>
      </w:r>
    </w:p>
    <w:p w14:paraId="00DB4F74" w14:textId="336EFCF4" w:rsidR="005C3CFE" w:rsidRPr="00794AA7" w:rsidRDefault="005C3CFE" w:rsidP="00794AA7">
      <w:pPr>
        <w:pStyle w:val="Lijstalinea"/>
        <w:numPr>
          <w:ilvl w:val="0"/>
          <w:numId w:val="4"/>
        </w:numPr>
        <w:spacing w:after="0" w:afterAutospacing="0" w:line="360" w:lineRule="auto"/>
        <w:ind w:left="360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La nécessité de mettre en place des approches inspirées de l’épidémiologie pour quantifier les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cybermenaces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qui n’ont pas été constatées, détectées ou repérées afin de mieux combler les </w:t>
      </w:r>
      <w:r w:rsidR="00DF36A0" w:rsidRPr="00794AA7">
        <w:rPr>
          <w:rFonts w:ascii="Calibri" w:hAnsi="Calibri" w:cs="Calibri"/>
          <w:sz w:val="20"/>
          <w:szCs w:val="20"/>
          <w:lang w:val="fr-FR"/>
        </w:rPr>
        <w:t>lacunes</w:t>
      </w:r>
      <w:r w:rsidRPr="00794AA7">
        <w:rPr>
          <w:rFonts w:ascii="Calibri" w:hAnsi="Calibri" w:cs="Calibri"/>
          <w:sz w:val="20"/>
          <w:szCs w:val="20"/>
          <w:lang w:val="fr-FR"/>
        </w:rPr>
        <w:t xml:space="preserve"> en matière de détection, d’évaluation des risques et de définition des priorités</w:t>
      </w:r>
    </w:p>
    <w:p w14:paraId="4DB3AAA9" w14:textId="77777777" w:rsidR="003D1912" w:rsidRPr="00794AA7" w:rsidRDefault="003D1912" w:rsidP="00794AA7">
      <w:pPr>
        <w:shd w:val="clear" w:color="auto" w:fill="FCFCFC"/>
        <w:spacing w:line="360" w:lineRule="auto"/>
        <w:textAlignment w:val="baseline"/>
        <w:rPr>
          <w:rFonts w:ascii="Calibri" w:hAnsi="Calibri" w:cs="Calibri"/>
          <w:sz w:val="20"/>
          <w:szCs w:val="20"/>
          <w:lang w:val="fr-FR"/>
        </w:rPr>
      </w:pPr>
    </w:p>
    <w:p w14:paraId="4365FCB8" w14:textId="6A45ED4D" w:rsidR="00DF36A0" w:rsidRPr="00794AA7" w:rsidRDefault="00DF36A0" w:rsidP="00794AA7">
      <w:pPr>
        <w:shd w:val="clear" w:color="auto" w:fill="FCFCFC"/>
        <w:spacing w:line="360" w:lineRule="auto"/>
        <w:textAlignment w:val="baseline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Le rapport complet est disponible sur </w:t>
      </w:r>
      <w:hyperlink r:id="rId18" w:history="1">
        <w:r w:rsidRPr="00794AA7">
          <w:rPr>
            <w:rStyle w:val="Hyperlink"/>
            <w:rFonts w:ascii="Calibri" w:hAnsi="Calibri" w:cs="Calibri"/>
            <w:sz w:val="20"/>
            <w:szCs w:val="20"/>
            <w:lang w:val="fr-FR"/>
          </w:rPr>
          <w:t>www.sophos.com/threatreport</w:t>
        </w:r>
      </w:hyperlink>
      <w:r w:rsidRPr="00794AA7">
        <w:rPr>
          <w:rFonts w:ascii="Calibri" w:hAnsi="Calibri" w:cs="Calibri"/>
          <w:sz w:val="20"/>
          <w:szCs w:val="20"/>
          <w:lang w:val="fr-FR"/>
        </w:rPr>
        <w:t>.</w:t>
      </w:r>
    </w:p>
    <w:p w14:paraId="396FF61B" w14:textId="02950562" w:rsidR="00DF36A0" w:rsidRPr="00794AA7" w:rsidRDefault="00DF36A0" w:rsidP="00794AA7">
      <w:pPr>
        <w:pStyle w:val="MediumGrid21"/>
        <w:spacing w:line="360" w:lineRule="auto"/>
        <w:rPr>
          <w:sz w:val="20"/>
          <w:szCs w:val="20"/>
        </w:rPr>
      </w:pPr>
    </w:p>
    <w:p w14:paraId="3E6EBC5B" w14:textId="77777777" w:rsidR="00057837" w:rsidRPr="00794AA7" w:rsidRDefault="00057837" w:rsidP="00794AA7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 xml:space="preserve">À propos de </w:t>
      </w:r>
      <w:proofErr w:type="spellStart"/>
      <w:r w:rsidRPr="00794AA7">
        <w:rPr>
          <w:rFonts w:ascii="Calibri" w:hAnsi="Calibri" w:cs="Calibri"/>
          <w:b/>
          <w:bCs/>
          <w:sz w:val="20"/>
          <w:szCs w:val="20"/>
          <w:lang w:val="fr-FR"/>
        </w:rPr>
        <w:t>Sophos</w:t>
      </w:r>
      <w:proofErr w:type="spellEnd"/>
    </w:p>
    <w:p w14:paraId="393CCDD8" w14:textId="77777777" w:rsidR="00057837" w:rsidRPr="00794AA7" w:rsidRDefault="00057837" w:rsidP="00794AA7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794AA7">
        <w:rPr>
          <w:rFonts w:ascii="Calibri" w:hAnsi="Calibri" w:cs="Calibri"/>
          <w:sz w:val="20"/>
          <w:szCs w:val="20"/>
          <w:lang w:val="fr-FR"/>
        </w:rPr>
        <w:t xml:space="preserve">En tant que leader mondial en solution de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cybersécurité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Next-Gen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protège plus de 400 000 entreprises, de toutes tailles et dans plus de 150 pays, contre les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cybermenaces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actuelles les plus avancées. Développées par les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SophosLabs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une équipe présente dans le monde entier et spécialisée dans le renseignement sur les menaces et la science des données, les solutions Cloud-Native et basées sur l'IA de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protègent les systèmes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(les ordinateurs portables, les serveurs et les périphériques mobiles) ainsi que les réseaux contre les techniques de cyberattaque évolutives, notamment les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ransomwares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les malwares, les exploits, l'exfiltration de données, le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phishing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et bien plus encore.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Central, la plateforme de management Cloud-Native, intègre l'ensemble des produits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Next-Gen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de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y compris la solution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Intercept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X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et le pare-feu XG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Next-Gen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, via un système unique de « sécurité synchronisée » accessible via un ensemble d'API.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commercialise ses produits et services exclusivement par </w:t>
      </w:r>
      <w:r w:rsidRPr="00794AA7">
        <w:rPr>
          <w:rFonts w:ascii="Calibri" w:hAnsi="Calibri" w:cs="Calibri"/>
          <w:sz w:val="20"/>
          <w:szCs w:val="20"/>
          <w:lang w:val="fr-FR"/>
        </w:rPr>
        <w:lastRenderedPageBreak/>
        <w:t xml:space="preserve">l’intermédiaire d’un réseau mondial regroupant plus de 53 000 partenaires et fournisseurs de services gérés (MSP :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Managed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Service Provider).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met également ses technologies commerciales innovantes à la disposition des particuliers via </w:t>
      </w:r>
      <w:proofErr w:type="spellStart"/>
      <w:r w:rsidRPr="00794AA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794AA7">
        <w:rPr>
          <w:rFonts w:ascii="Calibri" w:hAnsi="Calibri" w:cs="Calibri"/>
          <w:sz w:val="20"/>
          <w:szCs w:val="20"/>
          <w:lang w:val="fr-FR"/>
        </w:rPr>
        <w:t xml:space="preserve"> Home. Le siège de l’entreprise est basé à Oxford, au Royaume-Uni. Plus d'informations sont disponibles sur </w:t>
      </w:r>
      <w:hyperlink r:id="rId19" w:history="1">
        <w:r w:rsidRPr="00794AA7">
          <w:rPr>
            <w:rStyle w:val="Hyperlink"/>
            <w:rFonts w:ascii="Calibri" w:hAnsi="Calibri" w:cs="Calibri"/>
            <w:color w:val="0563C1"/>
            <w:sz w:val="20"/>
            <w:szCs w:val="20"/>
            <w:lang w:val="fr-FR"/>
          </w:rPr>
          <w:t>www.sophos.com</w:t>
        </w:r>
      </w:hyperlink>
      <w:r w:rsidRPr="00794AA7">
        <w:rPr>
          <w:rFonts w:ascii="Calibri" w:hAnsi="Calibri" w:cs="Calibri"/>
          <w:sz w:val="20"/>
          <w:szCs w:val="20"/>
          <w:lang w:val="fr-FR"/>
        </w:rPr>
        <w:t>.</w:t>
      </w:r>
    </w:p>
    <w:p w14:paraId="48E96FB1" w14:textId="77777777" w:rsidR="00057837" w:rsidRPr="00794AA7" w:rsidRDefault="00057837" w:rsidP="00794AA7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14:paraId="5A9C11FF" w14:textId="77777777" w:rsidR="00794AA7" w:rsidRPr="00794AA7" w:rsidRDefault="00794AA7" w:rsidP="00794AA7">
      <w:pPr>
        <w:spacing w:line="360" w:lineRule="auto"/>
        <w:rPr>
          <w:rFonts w:ascii="Calibri" w:hAnsi="Calibri" w:cs="Calibri"/>
          <w:b/>
          <w:color w:val="000000"/>
          <w:sz w:val="20"/>
          <w:szCs w:val="20"/>
          <w:lang w:val="fr-FR" w:eastAsia="fr-FR"/>
        </w:rPr>
      </w:pPr>
      <w:r w:rsidRPr="00794AA7">
        <w:rPr>
          <w:rFonts w:ascii="Calibri" w:hAnsi="Calibri" w:cs="Calibri"/>
          <w:b/>
          <w:color w:val="000000"/>
          <w:sz w:val="20"/>
          <w:szCs w:val="20"/>
          <w:lang w:val="fr-FR" w:eastAsia="fr-FR"/>
        </w:rPr>
        <w:t>Contacts presse :</w:t>
      </w:r>
    </w:p>
    <w:p w14:paraId="306B4CEA" w14:textId="77777777" w:rsidR="00794AA7" w:rsidRPr="00794AA7" w:rsidRDefault="00794AA7" w:rsidP="00794AA7">
      <w:pPr>
        <w:spacing w:line="360" w:lineRule="auto"/>
        <w:rPr>
          <w:rFonts w:ascii="Calibri" w:hAnsi="Calibri" w:cs="Calibri"/>
          <w:bCs/>
          <w:sz w:val="20"/>
          <w:szCs w:val="20"/>
          <w:lang w:val="fr-FR" w:eastAsia="fr-FR"/>
        </w:rPr>
      </w:pPr>
      <w:r w:rsidRPr="00794AA7">
        <w:rPr>
          <w:rFonts w:ascii="Calibri" w:hAnsi="Calibri" w:cs="Calibri"/>
          <w:bCs/>
          <w:color w:val="000000"/>
          <w:sz w:val="20"/>
          <w:szCs w:val="20"/>
          <w:lang w:val="fr-FR" w:eastAsia="fr-FR"/>
        </w:rPr>
        <w:t xml:space="preserve">Sandra Van </w:t>
      </w:r>
      <w:proofErr w:type="spellStart"/>
      <w:r w:rsidRPr="00794AA7">
        <w:rPr>
          <w:rFonts w:ascii="Calibri" w:hAnsi="Calibri" w:cs="Calibri"/>
          <w:bCs/>
          <w:color w:val="000000"/>
          <w:sz w:val="20"/>
          <w:szCs w:val="20"/>
          <w:lang w:val="fr-FR" w:eastAsia="fr-FR"/>
        </w:rPr>
        <w:t>Hauwaert</w:t>
      </w:r>
      <w:proofErr w:type="spellEnd"/>
      <w:r w:rsidRPr="00794AA7">
        <w:rPr>
          <w:rFonts w:ascii="Calibri" w:hAnsi="Calibri" w:cs="Calibri"/>
          <w:bCs/>
          <w:color w:val="000000"/>
          <w:sz w:val="20"/>
          <w:szCs w:val="20"/>
          <w:lang w:val="fr-FR" w:eastAsia="fr-FR"/>
        </w:rPr>
        <w:t xml:space="preserve">, Square Egg Communications, </w:t>
      </w:r>
      <w:hyperlink r:id="rId20" w:history="1">
        <w:r w:rsidRPr="00794AA7">
          <w:rPr>
            <w:rStyle w:val="Hyperlink"/>
            <w:rFonts w:ascii="Calibri" w:hAnsi="Calibri" w:cs="Calibri"/>
            <w:bCs/>
            <w:sz w:val="20"/>
            <w:szCs w:val="20"/>
            <w:lang w:val="fr-FR" w:eastAsia="fr-FR"/>
          </w:rPr>
          <w:t>sandra@square-egg.be</w:t>
        </w:r>
      </w:hyperlink>
      <w:r w:rsidRPr="00794AA7">
        <w:rPr>
          <w:rFonts w:ascii="Calibri" w:hAnsi="Calibri" w:cs="Calibri"/>
          <w:bCs/>
          <w:color w:val="000000"/>
          <w:sz w:val="20"/>
          <w:szCs w:val="20"/>
          <w:lang w:val="fr-FR" w:eastAsia="fr-FR"/>
        </w:rPr>
        <w:t>, GSM 0497251816</w:t>
      </w:r>
    </w:p>
    <w:p w14:paraId="0DDA422F" w14:textId="649F3774" w:rsidR="00D925CA" w:rsidRPr="00794AA7" w:rsidRDefault="00D925CA" w:rsidP="00794AA7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sectPr w:rsidR="00D925CA" w:rsidRPr="00794AA7" w:rsidSect="00BC57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0BA6" w14:textId="77777777" w:rsidR="00722399" w:rsidRDefault="00722399" w:rsidP="007F6B37">
      <w:r>
        <w:separator/>
      </w:r>
    </w:p>
  </w:endnote>
  <w:endnote w:type="continuationSeparator" w:id="0">
    <w:p w14:paraId="521C9852" w14:textId="77777777" w:rsidR="00722399" w:rsidRDefault="00722399" w:rsidP="007F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6D3A" w14:textId="77777777" w:rsidR="00111365" w:rsidRDefault="001113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AF61" w14:textId="77777777" w:rsidR="00111365" w:rsidRDefault="001113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78E3" w14:textId="77777777" w:rsidR="00111365" w:rsidRDefault="001113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70BC" w14:textId="77777777" w:rsidR="00722399" w:rsidRDefault="00722399" w:rsidP="007F6B37">
      <w:r>
        <w:separator/>
      </w:r>
    </w:p>
  </w:footnote>
  <w:footnote w:type="continuationSeparator" w:id="0">
    <w:p w14:paraId="28819402" w14:textId="77777777" w:rsidR="00722399" w:rsidRDefault="00722399" w:rsidP="007F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59C4" w14:textId="77777777" w:rsidR="00111365" w:rsidRDefault="001113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BFE8" w14:textId="77777777" w:rsidR="00111365" w:rsidRDefault="001113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FB28" w14:textId="77777777" w:rsidR="00111365" w:rsidRDefault="001113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769A"/>
    <w:multiLevelType w:val="hybridMultilevel"/>
    <w:tmpl w:val="714A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B215E"/>
    <w:multiLevelType w:val="hybridMultilevel"/>
    <w:tmpl w:val="AEF681E6"/>
    <w:lvl w:ilvl="0" w:tplc="9B0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E54"/>
    <w:multiLevelType w:val="hybridMultilevel"/>
    <w:tmpl w:val="6B8C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C0C12"/>
    <w:multiLevelType w:val="hybridMultilevel"/>
    <w:tmpl w:val="1A7A1434"/>
    <w:lvl w:ilvl="0" w:tplc="08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414BD"/>
    <w:multiLevelType w:val="hybridMultilevel"/>
    <w:tmpl w:val="349248DC"/>
    <w:lvl w:ilvl="0" w:tplc="E42E6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857DA"/>
    <w:multiLevelType w:val="hybridMultilevel"/>
    <w:tmpl w:val="E8464F66"/>
    <w:lvl w:ilvl="0" w:tplc="EC0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591"/>
    <w:multiLevelType w:val="hybridMultilevel"/>
    <w:tmpl w:val="0C6A941E"/>
    <w:lvl w:ilvl="0" w:tplc="A48E6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B42F0"/>
    <w:multiLevelType w:val="hybridMultilevel"/>
    <w:tmpl w:val="00FC060E"/>
    <w:lvl w:ilvl="0" w:tplc="21F8A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B17CD"/>
    <w:multiLevelType w:val="hybridMultilevel"/>
    <w:tmpl w:val="4290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108CC"/>
    <w:multiLevelType w:val="hybridMultilevel"/>
    <w:tmpl w:val="49C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78A"/>
    <w:multiLevelType w:val="hybridMultilevel"/>
    <w:tmpl w:val="D0C48662"/>
    <w:lvl w:ilvl="0" w:tplc="3E7EE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D76C5"/>
    <w:multiLevelType w:val="hybridMultilevel"/>
    <w:tmpl w:val="F5E2A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5"/>
    <w:rsid w:val="000007B6"/>
    <w:rsid w:val="00000942"/>
    <w:rsid w:val="00000E33"/>
    <w:rsid w:val="000051B7"/>
    <w:rsid w:val="000109B6"/>
    <w:rsid w:val="00014A2A"/>
    <w:rsid w:val="000151BE"/>
    <w:rsid w:val="0002074E"/>
    <w:rsid w:val="00021591"/>
    <w:rsid w:val="00023671"/>
    <w:rsid w:val="00024774"/>
    <w:rsid w:val="00033347"/>
    <w:rsid w:val="00033971"/>
    <w:rsid w:val="000351CD"/>
    <w:rsid w:val="00036DAA"/>
    <w:rsid w:val="00036F48"/>
    <w:rsid w:val="000377E3"/>
    <w:rsid w:val="00042880"/>
    <w:rsid w:val="00044EEC"/>
    <w:rsid w:val="00045589"/>
    <w:rsid w:val="00045A99"/>
    <w:rsid w:val="00051C88"/>
    <w:rsid w:val="00052F36"/>
    <w:rsid w:val="00055B60"/>
    <w:rsid w:val="00055E52"/>
    <w:rsid w:val="00056599"/>
    <w:rsid w:val="00056D57"/>
    <w:rsid w:val="00057837"/>
    <w:rsid w:val="00060D4F"/>
    <w:rsid w:val="000638D5"/>
    <w:rsid w:val="000643E8"/>
    <w:rsid w:val="00065C08"/>
    <w:rsid w:val="00067711"/>
    <w:rsid w:val="00082B3E"/>
    <w:rsid w:val="00090F8A"/>
    <w:rsid w:val="00095A5E"/>
    <w:rsid w:val="0009660E"/>
    <w:rsid w:val="000A04EC"/>
    <w:rsid w:val="000A0512"/>
    <w:rsid w:val="000A171A"/>
    <w:rsid w:val="000A57C5"/>
    <w:rsid w:val="000A7734"/>
    <w:rsid w:val="000A77B3"/>
    <w:rsid w:val="000B2C9C"/>
    <w:rsid w:val="000B3F31"/>
    <w:rsid w:val="000B420C"/>
    <w:rsid w:val="000B441F"/>
    <w:rsid w:val="000B5375"/>
    <w:rsid w:val="000C44FA"/>
    <w:rsid w:val="000D182E"/>
    <w:rsid w:val="000D3766"/>
    <w:rsid w:val="000D4D60"/>
    <w:rsid w:val="000D54CA"/>
    <w:rsid w:val="000D7714"/>
    <w:rsid w:val="000D78C3"/>
    <w:rsid w:val="000E22CA"/>
    <w:rsid w:val="000E3327"/>
    <w:rsid w:val="000E5BE6"/>
    <w:rsid w:val="000E6067"/>
    <w:rsid w:val="000F0763"/>
    <w:rsid w:val="000F0D17"/>
    <w:rsid w:val="000F1B39"/>
    <w:rsid w:val="000F1DA5"/>
    <w:rsid w:val="000F2207"/>
    <w:rsid w:val="000F355E"/>
    <w:rsid w:val="000F3E4D"/>
    <w:rsid w:val="001005CC"/>
    <w:rsid w:val="001015C8"/>
    <w:rsid w:val="00101F2E"/>
    <w:rsid w:val="00101F8D"/>
    <w:rsid w:val="00103B1C"/>
    <w:rsid w:val="00105763"/>
    <w:rsid w:val="0010586C"/>
    <w:rsid w:val="00106012"/>
    <w:rsid w:val="00110923"/>
    <w:rsid w:val="00111033"/>
    <w:rsid w:val="00111365"/>
    <w:rsid w:val="001160F9"/>
    <w:rsid w:val="00117E79"/>
    <w:rsid w:val="00121C90"/>
    <w:rsid w:val="00122C49"/>
    <w:rsid w:val="00124F7B"/>
    <w:rsid w:val="00125F48"/>
    <w:rsid w:val="001271FD"/>
    <w:rsid w:val="001336DF"/>
    <w:rsid w:val="00136518"/>
    <w:rsid w:val="00136B13"/>
    <w:rsid w:val="00140028"/>
    <w:rsid w:val="0014358F"/>
    <w:rsid w:val="001443BA"/>
    <w:rsid w:val="00146147"/>
    <w:rsid w:val="00146D32"/>
    <w:rsid w:val="00147727"/>
    <w:rsid w:val="00147F03"/>
    <w:rsid w:val="001510AD"/>
    <w:rsid w:val="00151E61"/>
    <w:rsid w:val="00153D12"/>
    <w:rsid w:val="00154380"/>
    <w:rsid w:val="00162748"/>
    <w:rsid w:val="00164CD9"/>
    <w:rsid w:val="00166F7D"/>
    <w:rsid w:val="001720B2"/>
    <w:rsid w:val="00175F43"/>
    <w:rsid w:val="00193594"/>
    <w:rsid w:val="001941AD"/>
    <w:rsid w:val="00194C31"/>
    <w:rsid w:val="00194F4E"/>
    <w:rsid w:val="00196965"/>
    <w:rsid w:val="001A28A9"/>
    <w:rsid w:val="001A2DB0"/>
    <w:rsid w:val="001B4E3E"/>
    <w:rsid w:val="001B63DF"/>
    <w:rsid w:val="001C010D"/>
    <w:rsid w:val="001C1272"/>
    <w:rsid w:val="001C2CFE"/>
    <w:rsid w:val="001C36EA"/>
    <w:rsid w:val="001C540A"/>
    <w:rsid w:val="001D22BC"/>
    <w:rsid w:val="001D2509"/>
    <w:rsid w:val="001D451F"/>
    <w:rsid w:val="001E0AE6"/>
    <w:rsid w:val="001E180F"/>
    <w:rsid w:val="001E3680"/>
    <w:rsid w:val="001E6521"/>
    <w:rsid w:val="001F0D11"/>
    <w:rsid w:val="001F1C22"/>
    <w:rsid w:val="001F3451"/>
    <w:rsid w:val="001F3B2E"/>
    <w:rsid w:val="001F50BC"/>
    <w:rsid w:val="001F518A"/>
    <w:rsid w:val="001F64B5"/>
    <w:rsid w:val="001F6C3B"/>
    <w:rsid w:val="00201807"/>
    <w:rsid w:val="0020781A"/>
    <w:rsid w:val="002123BD"/>
    <w:rsid w:val="00212E42"/>
    <w:rsid w:val="002143E7"/>
    <w:rsid w:val="00214845"/>
    <w:rsid w:val="0022545A"/>
    <w:rsid w:val="00227956"/>
    <w:rsid w:val="00231B2F"/>
    <w:rsid w:val="00232BC0"/>
    <w:rsid w:val="0023343C"/>
    <w:rsid w:val="00233FD9"/>
    <w:rsid w:val="00234AB3"/>
    <w:rsid w:val="00235043"/>
    <w:rsid w:val="002421B8"/>
    <w:rsid w:val="002500AC"/>
    <w:rsid w:val="002543E1"/>
    <w:rsid w:val="00255994"/>
    <w:rsid w:val="00261DA1"/>
    <w:rsid w:val="00262329"/>
    <w:rsid w:val="00264A61"/>
    <w:rsid w:val="00264E1F"/>
    <w:rsid w:val="00265289"/>
    <w:rsid w:val="00266A8C"/>
    <w:rsid w:val="002671A8"/>
    <w:rsid w:val="00274599"/>
    <w:rsid w:val="00280128"/>
    <w:rsid w:val="002817E8"/>
    <w:rsid w:val="00282159"/>
    <w:rsid w:val="00282AA6"/>
    <w:rsid w:val="00283F0D"/>
    <w:rsid w:val="00286A52"/>
    <w:rsid w:val="00287070"/>
    <w:rsid w:val="00291C66"/>
    <w:rsid w:val="00295B29"/>
    <w:rsid w:val="00296FF1"/>
    <w:rsid w:val="002A1138"/>
    <w:rsid w:val="002A202B"/>
    <w:rsid w:val="002A2124"/>
    <w:rsid w:val="002A3003"/>
    <w:rsid w:val="002A5812"/>
    <w:rsid w:val="002A5D65"/>
    <w:rsid w:val="002A7243"/>
    <w:rsid w:val="002B4311"/>
    <w:rsid w:val="002B6395"/>
    <w:rsid w:val="002B6F11"/>
    <w:rsid w:val="002C6167"/>
    <w:rsid w:val="002D24DC"/>
    <w:rsid w:val="002D3286"/>
    <w:rsid w:val="002D35E7"/>
    <w:rsid w:val="002D4736"/>
    <w:rsid w:val="002D60EB"/>
    <w:rsid w:val="002E36A2"/>
    <w:rsid w:val="002E64FB"/>
    <w:rsid w:val="002F3B79"/>
    <w:rsid w:val="002F54B1"/>
    <w:rsid w:val="00300109"/>
    <w:rsid w:val="00301640"/>
    <w:rsid w:val="00302B19"/>
    <w:rsid w:val="00302F54"/>
    <w:rsid w:val="003041CD"/>
    <w:rsid w:val="00306E98"/>
    <w:rsid w:val="00315131"/>
    <w:rsid w:val="003156F5"/>
    <w:rsid w:val="00322068"/>
    <w:rsid w:val="00322C76"/>
    <w:rsid w:val="00322D30"/>
    <w:rsid w:val="0032340A"/>
    <w:rsid w:val="00324195"/>
    <w:rsid w:val="0032492A"/>
    <w:rsid w:val="00324C42"/>
    <w:rsid w:val="00343071"/>
    <w:rsid w:val="00353F66"/>
    <w:rsid w:val="0035549D"/>
    <w:rsid w:val="003761DC"/>
    <w:rsid w:val="00376D78"/>
    <w:rsid w:val="00377DEB"/>
    <w:rsid w:val="00381F3F"/>
    <w:rsid w:val="00382E4D"/>
    <w:rsid w:val="00383E13"/>
    <w:rsid w:val="003861ED"/>
    <w:rsid w:val="00387C8F"/>
    <w:rsid w:val="0039112C"/>
    <w:rsid w:val="003928EB"/>
    <w:rsid w:val="003945E1"/>
    <w:rsid w:val="003964CA"/>
    <w:rsid w:val="003A04AA"/>
    <w:rsid w:val="003A0F6D"/>
    <w:rsid w:val="003A1B77"/>
    <w:rsid w:val="003A2361"/>
    <w:rsid w:val="003A302B"/>
    <w:rsid w:val="003A3380"/>
    <w:rsid w:val="003A73B4"/>
    <w:rsid w:val="003B0145"/>
    <w:rsid w:val="003B5DAA"/>
    <w:rsid w:val="003C1536"/>
    <w:rsid w:val="003D098B"/>
    <w:rsid w:val="003D1912"/>
    <w:rsid w:val="003D7BED"/>
    <w:rsid w:val="003E152A"/>
    <w:rsid w:val="003E7A25"/>
    <w:rsid w:val="003F153E"/>
    <w:rsid w:val="003F2A72"/>
    <w:rsid w:val="003F3568"/>
    <w:rsid w:val="003F3804"/>
    <w:rsid w:val="003F59CE"/>
    <w:rsid w:val="00401106"/>
    <w:rsid w:val="00402138"/>
    <w:rsid w:val="00412BCC"/>
    <w:rsid w:val="00413C8F"/>
    <w:rsid w:val="0041505C"/>
    <w:rsid w:val="004217BD"/>
    <w:rsid w:val="00422BE7"/>
    <w:rsid w:val="00422DCE"/>
    <w:rsid w:val="004242C2"/>
    <w:rsid w:val="00424D10"/>
    <w:rsid w:val="004259E7"/>
    <w:rsid w:val="0043218C"/>
    <w:rsid w:val="004329B9"/>
    <w:rsid w:val="004331C7"/>
    <w:rsid w:val="00437225"/>
    <w:rsid w:val="00437975"/>
    <w:rsid w:val="00442580"/>
    <w:rsid w:val="0044343B"/>
    <w:rsid w:val="00445BDE"/>
    <w:rsid w:val="00446E7B"/>
    <w:rsid w:val="00447C55"/>
    <w:rsid w:val="004509A8"/>
    <w:rsid w:val="0045646F"/>
    <w:rsid w:val="004614EA"/>
    <w:rsid w:val="004619BB"/>
    <w:rsid w:val="00472C4F"/>
    <w:rsid w:val="004762FE"/>
    <w:rsid w:val="00477883"/>
    <w:rsid w:val="004845C0"/>
    <w:rsid w:val="00484D22"/>
    <w:rsid w:val="00485F73"/>
    <w:rsid w:val="00491E58"/>
    <w:rsid w:val="00494B63"/>
    <w:rsid w:val="00495D4B"/>
    <w:rsid w:val="00497A97"/>
    <w:rsid w:val="004A13A5"/>
    <w:rsid w:val="004A1A73"/>
    <w:rsid w:val="004A283F"/>
    <w:rsid w:val="004A402D"/>
    <w:rsid w:val="004A5EEB"/>
    <w:rsid w:val="004B3537"/>
    <w:rsid w:val="004B3B89"/>
    <w:rsid w:val="004B5799"/>
    <w:rsid w:val="004C0174"/>
    <w:rsid w:val="004C080C"/>
    <w:rsid w:val="004C11DA"/>
    <w:rsid w:val="004C130A"/>
    <w:rsid w:val="004C261E"/>
    <w:rsid w:val="004C2FFC"/>
    <w:rsid w:val="004C4730"/>
    <w:rsid w:val="004D2502"/>
    <w:rsid w:val="004D2B40"/>
    <w:rsid w:val="004D2FE6"/>
    <w:rsid w:val="004D3B1C"/>
    <w:rsid w:val="004D4093"/>
    <w:rsid w:val="004F0B45"/>
    <w:rsid w:val="004F5882"/>
    <w:rsid w:val="004F68BD"/>
    <w:rsid w:val="0050353F"/>
    <w:rsid w:val="005048A2"/>
    <w:rsid w:val="005054E5"/>
    <w:rsid w:val="00505DAF"/>
    <w:rsid w:val="00506F13"/>
    <w:rsid w:val="00513586"/>
    <w:rsid w:val="005160AB"/>
    <w:rsid w:val="00521A31"/>
    <w:rsid w:val="005342D0"/>
    <w:rsid w:val="0053640A"/>
    <w:rsid w:val="005409F9"/>
    <w:rsid w:val="00540AB4"/>
    <w:rsid w:val="00546CB4"/>
    <w:rsid w:val="005505B9"/>
    <w:rsid w:val="00561613"/>
    <w:rsid w:val="0056411F"/>
    <w:rsid w:val="00565232"/>
    <w:rsid w:val="0056727B"/>
    <w:rsid w:val="005703E1"/>
    <w:rsid w:val="00571B6A"/>
    <w:rsid w:val="0057706C"/>
    <w:rsid w:val="00582229"/>
    <w:rsid w:val="0058479E"/>
    <w:rsid w:val="0058563B"/>
    <w:rsid w:val="00585C24"/>
    <w:rsid w:val="00586590"/>
    <w:rsid w:val="00586648"/>
    <w:rsid w:val="005911C1"/>
    <w:rsid w:val="00592F5F"/>
    <w:rsid w:val="005945AF"/>
    <w:rsid w:val="0059540D"/>
    <w:rsid w:val="00596F48"/>
    <w:rsid w:val="005A09FD"/>
    <w:rsid w:val="005A1C7E"/>
    <w:rsid w:val="005A3840"/>
    <w:rsid w:val="005A4D6C"/>
    <w:rsid w:val="005A53AB"/>
    <w:rsid w:val="005A5E5C"/>
    <w:rsid w:val="005B1736"/>
    <w:rsid w:val="005B3474"/>
    <w:rsid w:val="005B707E"/>
    <w:rsid w:val="005C1174"/>
    <w:rsid w:val="005C3CFE"/>
    <w:rsid w:val="005D0344"/>
    <w:rsid w:val="005D302A"/>
    <w:rsid w:val="005D3ED3"/>
    <w:rsid w:val="005D5744"/>
    <w:rsid w:val="005D75C3"/>
    <w:rsid w:val="005E053C"/>
    <w:rsid w:val="005E5F2E"/>
    <w:rsid w:val="005F191F"/>
    <w:rsid w:val="005F1EE8"/>
    <w:rsid w:val="005F3D36"/>
    <w:rsid w:val="005F3D37"/>
    <w:rsid w:val="005F5A87"/>
    <w:rsid w:val="0060171A"/>
    <w:rsid w:val="00606336"/>
    <w:rsid w:val="006073E5"/>
    <w:rsid w:val="0061073B"/>
    <w:rsid w:val="00614E13"/>
    <w:rsid w:val="00616484"/>
    <w:rsid w:val="00616781"/>
    <w:rsid w:val="00616EB7"/>
    <w:rsid w:val="0062160C"/>
    <w:rsid w:val="006223D7"/>
    <w:rsid w:val="0062692F"/>
    <w:rsid w:val="00627E0E"/>
    <w:rsid w:val="00630F76"/>
    <w:rsid w:val="0063368C"/>
    <w:rsid w:val="00633737"/>
    <w:rsid w:val="0063435A"/>
    <w:rsid w:val="00641BF6"/>
    <w:rsid w:val="006427C7"/>
    <w:rsid w:val="00650CA5"/>
    <w:rsid w:val="00650CDA"/>
    <w:rsid w:val="00655D23"/>
    <w:rsid w:val="00664454"/>
    <w:rsid w:val="00673DBB"/>
    <w:rsid w:val="00674FE3"/>
    <w:rsid w:val="00684042"/>
    <w:rsid w:val="00687188"/>
    <w:rsid w:val="00690458"/>
    <w:rsid w:val="006937BA"/>
    <w:rsid w:val="00697768"/>
    <w:rsid w:val="006A1DF9"/>
    <w:rsid w:val="006A3E88"/>
    <w:rsid w:val="006B3B29"/>
    <w:rsid w:val="006B79FB"/>
    <w:rsid w:val="006C1C62"/>
    <w:rsid w:val="006C3022"/>
    <w:rsid w:val="006C3252"/>
    <w:rsid w:val="006C3AB8"/>
    <w:rsid w:val="006D0A6D"/>
    <w:rsid w:val="006D6D23"/>
    <w:rsid w:val="006D70D3"/>
    <w:rsid w:val="006D7625"/>
    <w:rsid w:val="006E189F"/>
    <w:rsid w:val="006E2BF1"/>
    <w:rsid w:val="006E6234"/>
    <w:rsid w:val="0070244B"/>
    <w:rsid w:val="00703BC0"/>
    <w:rsid w:val="00710777"/>
    <w:rsid w:val="0071212A"/>
    <w:rsid w:val="00712843"/>
    <w:rsid w:val="00715FDA"/>
    <w:rsid w:val="00716623"/>
    <w:rsid w:val="00717042"/>
    <w:rsid w:val="00722399"/>
    <w:rsid w:val="00723AD2"/>
    <w:rsid w:val="00725504"/>
    <w:rsid w:val="00725769"/>
    <w:rsid w:val="007257DC"/>
    <w:rsid w:val="007274F2"/>
    <w:rsid w:val="007302D1"/>
    <w:rsid w:val="00730472"/>
    <w:rsid w:val="00730E6C"/>
    <w:rsid w:val="00731201"/>
    <w:rsid w:val="00731624"/>
    <w:rsid w:val="00733577"/>
    <w:rsid w:val="00735CA9"/>
    <w:rsid w:val="007361CE"/>
    <w:rsid w:val="00740224"/>
    <w:rsid w:val="007458A3"/>
    <w:rsid w:val="0075146E"/>
    <w:rsid w:val="007516C1"/>
    <w:rsid w:val="007531BC"/>
    <w:rsid w:val="007561FB"/>
    <w:rsid w:val="0075749E"/>
    <w:rsid w:val="0076114D"/>
    <w:rsid w:val="00761F26"/>
    <w:rsid w:val="00764F16"/>
    <w:rsid w:val="00766B70"/>
    <w:rsid w:val="007706C9"/>
    <w:rsid w:val="00771923"/>
    <w:rsid w:val="00772D1A"/>
    <w:rsid w:val="00773D09"/>
    <w:rsid w:val="00781276"/>
    <w:rsid w:val="00782002"/>
    <w:rsid w:val="00782A26"/>
    <w:rsid w:val="00782A4D"/>
    <w:rsid w:val="007835F3"/>
    <w:rsid w:val="00784633"/>
    <w:rsid w:val="007945B0"/>
    <w:rsid w:val="00794AA7"/>
    <w:rsid w:val="00794EC7"/>
    <w:rsid w:val="007A7089"/>
    <w:rsid w:val="007B634C"/>
    <w:rsid w:val="007B6453"/>
    <w:rsid w:val="007C15A6"/>
    <w:rsid w:val="007C1D55"/>
    <w:rsid w:val="007C489B"/>
    <w:rsid w:val="007C7A28"/>
    <w:rsid w:val="007D1CF1"/>
    <w:rsid w:val="007D209F"/>
    <w:rsid w:val="007D30BB"/>
    <w:rsid w:val="007D3A30"/>
    <w:rsid w:val="007D5F10"/>
    <w:rsid w:val="007D71BE"/>
    <w:rsid w:val="007E3D6C"/>
    <w:rsid w:val="007E55B6"/>
    <w:rsid w:val="007E64C3"/>
    <w:rsid w:val="007E64F0"/>
    <w:rsid w:val="007E6E44"/>
    <w:rsid w:val="007F056A"/>
    <w:rsid w:val="007F0985"/>
    <w:rsid w:val="007F3B7B"/>
    <w:rsid w:val="007F6B37"/>
    <w:rsid w:val="007F7B25"/>
    <w:rsid w:val="007F7FF8"/>
    <w:rsid w:val="00801646"/>
    <w:rsid w:val="00802AEA"/>
    <w:rsid w:val="008123D8"/>
    <w:rsid w:val="0081460D"/>
    <w:rsid w:val="00816859"/>
    <w:rsid w:val="00821AD1"/>
    <w:rsid w:val="0082254B"/>
    <w:rsid w:val="00825281"/>
    <w:rsid w:val="00830A15"/>
    <w:rsid w:val="00832EF6"/>
    <w:rsid w:val="00836489"/>
    <w:rsid w:val="00836FA6"/>
    <w:rsid w:val="00837E5D"/>
    <w:rsid w:val="00840563"/>
    <w:rsid w:val="00843871"/>
    <w:rsid w:val="00843BBC"/>
    <w:rsid w:val="008441A5"/>
    <w:rsid w:val="008478BE"/>
    <w:rsid w:val="008522F1"/>
    <w:rsid w:val="00852ABF"/>
    <w:rsid w:val="00854586"/>
    <w:rsid w:val="0085504A"/>
    <w:rsid w:val="008600B7"/>
    <w:rsid w:val="00863742"/>
    <w:rsid w:val="00863F86"/>
    <w:rsid w:val="00864460"/>
    <w:rsid w:val="008710C1"/>
    <w:rsid w:val="00877242"/>
    <w:rsid w:val="00885CA0"/>
    <w:rsid w:val="00885E7A"/>
    <w:rsid w:val="00887824"/>
    <w:rsid w:val="008912C0"/>
    <w:rsid w:val="008915F8"/>
    <w:rsid w:val="00892878"/>
    <w:rsid w:val="00893FFB"/>
    <w:rsid w:val="008A2AAB"/>
    <w:rsid w:val="008A4A16"/>
    <w:rsid w:val="008A5407"/>
    <w:rsid w:val="008B1210"/>
    <w:rsid w:val="008B152A"/>
    <w:rsid w:val="008B6ED2"/>
    <w:rsid w:val="008B716B"/>
    <w:rsid w:val="008C2A10"/>
    <w:rsid w:val="008C71F1"/>
    <w:rsid w:val="008C72D0"/>
    <w:rsid w:val="008D04E4"/>
    <w:rsid w:val="008D1DE2"/>
    <w:rsid w:val="008D2936"/>
    <w:rsid w:val="008D2D3F"/>
    <w:rsid w:val="008D6D81"/>
    <w:rsid w:val="008E186A"/>
    <w:rsid w:val="008E1AC0"/>
    <w:rsid w:val="008E6018"/>
    <w:rsid w:val="008E7A47"/>
    <w:rsid w:val="008E7B9D"/>
    <w:rsid w:val="008F1DA5"/>
    <w:rsid w:val="008F2460"/>
    <w:rsid w:val="008F3235"/>
    <w:rsid w:val="008F57D1"/>
    <w:rsid w:val="00901DBD"/>
    <w:rsid w:val="00901F9E"/>
    <w:rsid w:val="00903740"/>
    <w:rsid w:val="00907897"/>
    <w:rsid w:val="00910B97"/>
    <w:rsid w:val="00911CFA"/>
    <w:rsid w:val="009147E9"/>
    <w:rsid w:val="009166CB"/>
    <w:rsid w:val="00921746"/>
    <w:rsid w:val="00921EB4"/>
    <w:rsid w:val="00924B71"/>
    <w:rsid w:val="00924C0E"/>
    <w:rsid w:val="00925DD4"/>
    <w:rsid w:val="009310D9"/>
    <w:rsid w:val="009312E9"/>
    <w:rsid w:val="00931512"/>
    <w:rsid w:val="0094006E"/>
    <w:rsid w:val="00941B6A"/>
    <w:rsid w:val="00942A4C"/>
    <w:rsid w:val="0094337E"/>
    <w:rsid w:val="00944C14"/>
    <w:rsid w:val="00944F0A"/>
    <w:rsid w:val="0094623B"/>
    <w:rsid w:val="00946689"/>
    <w:rsid w:val="00947279"/>
    <w:rsid w:val="00950DCE"/>
    <w:rsid w:val="00955BDC"/>
    <w:rsid w:val="00961B70"/>
    <w:rsid w:val="00965B00"/>
    <w:rsid w:val="00966C93"/>
    <w:rsid w:val="00970F74"/>
    <w:rsid w:val="0097130A"/>
    <w:rsid w:val="00974041"/>
    <w:rsid w:val="00974AE3"/>
    <w:rsid w:val="009807AA"/>
    <w:rsid w:val="00981861"/>
    <w:rsid w:val="00984C45"/>
    <w:rsid w:val="00987086"/>
    <w:rsid w:val="0099117C"/>
    <w:rsid w:val="00992B0A"/>
    <w:rsid w:val="00995974"/>
    <w:rsid w:val="00997332"/>
    <w:rsid w:val="009A00D7"/>
    <w:rsid w:val="009A0930"/>
    <w:rsid w:val="009A45C9"/>
    <w:rsid w:val="009A6322"/>
    <w:rsid w:val="009A6493"/>
    <w:rsid w:val="009A6F0F"/>
    <w:rsid w:val="009A723D"/>
    <w:rsid w:val="009B0E9E"/>
    <w:rsid w:val="009B2972"/>
    <w:rsid w:val="009B4536"/>
    <w:rsid w:val="009B5D43"/>
    <w:rsid w:val="009B6750"/>
    <w:rsid w:val="009C16C7"/>
    <w:rsid w:val="009C2E82"/>
    <w:rsid w:val="009C31BF"/>
    <w:rsid w:val="009C59C7"/>
    <w:rsid w:val="009C5A9C"/>
    <w:rsid w:val="009C63FE"/>
    <w:rsid w:val="009C7CF1"/>
    <w:rsid w:val="009D2A2B"/>
    <w:rsid w:val="009E0CA1"/>
    <w:rsid w:val="009E3FD7"/>
    <w:rsid w:val="009E40AC"/>
    <w:rsid w:val="009F1DC5"/>
    <w:rsid w:val="009F213D"/>
    <w:rsid w:val="009F4740"/>
    <w:rsid w:val="009F6160"/>
    <w:rsid w:val="009F6F3E"/>
    <w:rsid w:val="00A0119D"/>
    <w:rsid w:val="00A138D3"/>
    <w:rsid w:val="00A14C5F"/>
    <w:rsid w:val="00A162E1"/>
    <w:rsid w:val="00A2354D"/>
    <w:rsid w:val="00A302DD"/>
    <w:rsid w:val="00A30C14"/>
    <w:rsid w:val="00A3438F"/>
    <w:rsid w:val="00A369A8"/>
    <w:rsid w:val="00A36F3E"/>
    <w:rsid w:val="00A4224F"/>
    <w:rsid w:val="00A47972"/>
    <w:rsid w:val="00A5101C"/>
    <w:rsid w:val="00A51220"/>
    <w:rsid w:val="00A52A8E"/>
    <w:rsid w:val="00A53B96"/>
    <w:rsid w:val="00A55519"/>
    <w:rsid w:val="00A608F2"/>
    <w:rsid w:val="00A73605"/>
    <w:rsid w:val="00A83F59"/>
    <w:rsid w:val="00A911D7"/>
    <w:rsid w:val="00A9180C"/>
    <w:rsid w:val="00AA3C89"/>
    <w:rsid w:val="00AA3F4A"/>
    <w:rsid w:val="00AB0CC0"/>
    <w:rsid w:val="00AB17F6"/>
    <w:rsid w:val="00AB2235"/>
    <w:rsid w:val="00AB404D"/>
    <w:rsid w:val="00AB6591"/>
    <w:rsid w:val="00AC25DA"/>
    <w:rsid w:val="00AC34CB"/>
    <w:rsid w:val="00AC4CB5"/>
    <w:rsid w:val="00AC6581"/>
    <w:rsid w:val="00AC7E23"/>
    <w:rsid w:val="00AD3522"/>
    <w:rsid w:val="00AD614C"/>
    <w:rsid w:val="00AD7B57"/>
    <w:rsid w:val="00AE0D72"/>
    <w:rsid w:val="00AE24A6"/>
    <w:rsid w:val="00AE2CA3"/>
    <w:rsid w:val="00AE3192"/>
    <w:rsid w:val="00AE5D17"/>
    <w:rsid w:val="00AE6BB9"/>
    <w:rsid w:val="00AF1162"/>
    <w:rsid w:val="00AF6714"/>
    <w:rsid w:val="00AF758F"/>
    <w:rsid w:val="00B019CF"/>
    <w:rsid w:val="00B02921"/>
    <w:rsid w:val="00B03CE7"/>
    <w:rsid w:val="00B0678A"/>
    <w:rsid w:val="00B11DB4"/>
    <w:rsid w:val="00B170A1"/>
    <w:rsid w:val="00B205D1"/>
    <w:rsid w:val="00B20BA3"/>
    <w:rsid w:val="00B2127D"/>
    <w:rsid w:val="00B21D5B"/>
    <w:rsid w:val="00B235AB"/>
    <w:rsid w:val="00B32F07"/>
    <w:rsid w:val="00B34B80"/>
    <w:rsid w:val="00B357BC"/>
    <w:rsid w:val="00B36A12"/>
    <w:rsid w:val="00B52277"/>
    <w:rsid w:val="00B532E7"/>
    <w:rsid w:val="00B53456"/>
    <w:rsid w:val="00B55ECB"/>
    <w:rsid w:val="00B60283"/>
    <w:rsid w:val="00B60C66"/>
    <w:rsid w:val="00B6382E"/>
    <w:rsid w:val="00B64103"/>
    <w:rsid w:val="00B65649"/>
    <w:rsid w:val="00B66613"/>
    <w:rsid w:val="00B67A05"/>
    <w:rsid w:val="00B71ABF"/>
    <w:rsid w:val="00B73C4F"/>
    <w:rsid w:val="00B7594E"/>
    <w:rsid w:val="00B82836"/>
    <w:rsid w:val="00B85A4A"/>
    <w:rsid w:val="00B8634C"/>
    <w:rsid w:val="00B870F4"/>
    <w:rsid w:val="00B95418"/>
    <w:rsid w:val="00B967CA"/>
    <w:rsid w:val="00B96875"/>
    <w:rsid w:val="00B97253"/>
    <w:rsid w:val="00BA0FDB"/>
    <w:rsid w:val="00BA5C12"/>
    <w:rsid w:val="00BA7560"/>
    <w:rsid w:val="00BB3669"/>
    <w:rsid w:val="00BB483B"/>
    <w:rsid w:val="00BB4B21"/>
    <w:rsid w:val="00BC16CB"/>
    <w:rsid w:val="00BC1A40"/>
    <w:rsid w:val="00BC34FC"/>
    <w:rsid w:val="00BC4E1A"/>
    <w:rsid w:val="00BC5496"/>
    <w:rsid w:val="00BC5778"/>
    <w:rsid w:val="00BC57D9"/>
    <w:rsid w:val="00BC6AEB"/>
    <w:rsid w:val="00BD0228"/>
    <w:rsid w:val="00BD2918"/>
    <w:rsid w:val="00BE0FB3"/>
    <w:rsid w:val="00BE2BA0"/>
    <w:rsid w:val="00BE3492"/>
    <w:rsid w:val="00BE477D"/>
    <w:rsid w:val="00BE5BED"/>
    <w:rsid w:val="00BE7BEE"/>
    <w:rsid w:val="00BE7FD7"/>
    <w:rsid w:val="00BF001F"/>
    <w:rsid w:val="00BF52B7"/>
    <w:rsid w:val="00BF7496"/>
    <w:rsid w:val="00C00854"/>
    <w:rsid w:val="00C018D4"/>
    <w:rsid w:val="00C057B2"/>
    <w:rsid w:val="00C06D2E"/>
    <w:rsid w:val="00C10C3D"/>
    <w:rsid w:val="00C11A0C"/>
    <w:rsid w:val="00C1444A"/>
    <w:rsid w:val="00C20535"/>
    <w:rsid w:val="00C229CA"/>
    <w:rsid w:val="00C252F8"/>
    <w:rsid w:val="00C27D48"/>
    <w:rsid w:val="00C326EB"/>
    <w:rsid w:val="00C339CB"/>
    <w:rsid w:val="00C34BCE"/>
    <w:rsid w:val="00C36A36"/>
    <w:rsid w:val="00C44D37"/>
    <w:rsid w:val="00C50523"/>
    <w:rsid w:val="00C5074F"/>
    <w:rsid w:val="00C535F7"/>
    <w:rsid w:val="00C60004"/>
    <w:rsid w:val="00C61585"/>
    <w:rsid w:val="00C70303"/>
    <w:rsid w:val="00C724C6"/>
    <w:rsid w:val="00C76211"/>
    <w:rsid w:val="00C81C2D"/>
    <w:rsid w:val="00C85F91"/>
    <w:rsid w:val="00C932E5"/>
    <w:rsid w:val="00C939F4"/>
    <w:rsid w:val="00C956DD"/>
    <w:rsid w:val="00C96F64"/>
    <w:rsid w:val="00CA53E5"/>
    <w:rsid w:val="00CA55FB"/>
    <w:rsid w:val="00CA5F61"/>
    <w:rsid w:val="00CA62CC"/>
    <w:rsid w:val="00CA79D3"/>
    <w:rsid w:val="00CB01B9"/>
    <w:rsid w:val="00CB0429"/>
    <w:rsid w:val="00CB2252"/>
    <w:rsid w:val="00CC4423"/>
    <w:rsid w:val="00CC662E"/>
    <w:rsid w:val="00CD34B0"/>
    <w:rsid w:val="00CE2809"/>
    <w:rsid w:val="00CE38F1"/>
    <w:rsid w:val="00CE46A4"/>
    <w:rsid w:val="00CE53B7"/>
    <w:rsid w:val="00CF0A99"/>
    <w:rsid w:val="00CF2C2F"/>
    <w:rsid w:val="00CF33DD"/>
    <w:rsid w:val="00CF5B98"/>
    <w:rsid w:val="00CF723F"/>
    <w:rsid w:val="00D02888"/>
    <w:rsid w:val="00D0380E"/>
    <w:rsid w:val="00D069DB"/>
    <w:rsid w:val="00D128DA"/>
    <w:rsid w:val="00D144AE"/>
    <w:rsid w:val="00D16C02"/>
    <w:rsid w:val="00D201B9"/>
    <w:rsid w:val="00D21368"/>
    <w:rsid w:val="00D21B80"/>
    <w:rsid w:val="00D22009"/>
    <w:rsid w:val="00D22EBD"/>
    <w:rsid w:val="00D24637"/>
    <w:rsid w:val="00D25BD5"/>
    <w:rsid w:val="00D358C0"/>
    <w:rsid w:val="00D364C7"/>
    <w:rsid w:val="00D37641"/>
    <w:rsid w:val="00D40722"/>
    <w:rsid w:val="00D40796"/>
    <w:rsid w:val="00D40BBA"/>
    <w:rsid w:val="00D41340"/>
    <w:rsid w:val="00D429F9"/>
    <w:rsid w:val="00D45923"/>
    <w:rsid w:val="00D46BB4"/>
    <w:rsid w:val="00D512E5"/>
    <w:rsid w:val="00D515C0"/>
    <w:rsid w:val="00D517EA"/>
    <w:rsid w:val="00D5568B"/>
    <w:rsid w:val="00D55F72"/>
    <w:rsid w:val="00D65720"/>
    <w:rsid w:val="00D662E4"/>
    <w:rsid w:val="00D666FA"/>
    <w:rsid w:val="00D6678D"/>
    <w:rsid w:val="00D7077B"/>
    <w:rsid w:val="00D71765"/>
    <w:rsid w:val="00D73B2A"/>
    <w:rsid w:val="00D74798"/>
    <w:rsid w:val="00D767F5"/>
    <w:rsid w:val="00D85666"/>
    <w:rsid w:val="00D85B5B"/>
    <w:rsid w:val="00D90EF5"/>
    <w:rsid w:val="00D925CA"/>
    <w:rsid w:val="00D973E9"/>
    <w:rsid w:val="00DA169B"/>
    <w:rsid w:val="00DA1FCD"/>
    <w:rsid w:val="00DA2E3F"/>
    <w:rsid w:val="00DA3CF6"/>
    <w:rsid w:val="00DA3FE0"/>
    <w:rsid w:val="00DA6635"/>
    <w:rsid w:val="00DA774C"/>
    <w:rsid w:val="00DB23F7"/>
    <w:rsid w:val="00DB2A30"/>
    <w:rsid w:val="00DB3B58"/>
    <w:rsid w:val="00DB3E66"/>
    <w:rsid w:val="00DB4A11"/>
    <w:rsid w:val="00DB4E49"/>
    <w:rsid w:val="00DB527C"/>
    <w:rsid w:val="00DB6C81"/>
    <w:rsid w:val="00DC30D2"/>
    <w:rsid w:val="00DC3FE1"/>
    <w:rsid w:val="00DC5217"/>
    <w:rsid w:val="00DC5716"/>
    <w:rsid w:val="00DC6ECE"/>
    <w:rsid w:val="00DD4F8F"/>
    <w:rsid w:val="00DD5869"/>
    <w:rsid w:val="00DE1703"/>
    <w:rsid w:val="00DE3E71"/>
    <w:rsid w:val="00DE486D"/>
    <w:rsid w:val="00DE637A"/>
    <w:rsid w:val="00DF311F"/>
    <w:rsid w:val="00DF36A0"/>
    <w:rsid w:val="00DF3B9C"/>
    <w:rsid w:val="00DF4667"/>
    <w:rsid w:val="00DF58A6"/>
    <w:rsid w:val="00DF613A"/>
    <w:rsid w:val="00E065B7"/>
    <w:rsid w:val="00E067E8"/>
    <w:rsid w:val="00E06E1A"/>
    <w:rsid w:val="00E11289"/>
    <w:rsid w:val="00E12EE8"/>
    <w:rsid w:val="00E23E55"/>
    <w:rsid w:val="00E31F34"/>
    <w:rsid w:val="00E357BC"/>
    <w:rsid w:val="00E37D28"/>
    <w:rsid w:val="00E43331"/>
    <w:rsid w:val="00E435E7"/>
    <w:rsid w:val="00E465AA"/>
    <w:rsid w:val="00E46B5A"/>
    <w:rsid w:val="00E60E7F"/>
    <w:rsid w:val="00E64ACE"/>
    <w:rsid w:val="00E66893"/>
    <w:rsid w:val="00E71505"/>
    <w:rsid w:val="00E719FF"/>
    <w:rsid w:val="00E72C2D"/>
    <w:rsid w:val="00E7498D"/>
    <w:rsid w:val="00E7628B"/>
    <w:rsid w:val="00E764FA"/>
    <w:rsid w:val="00E805F0"/>
    <w:rsid w:val="00E84EA8"/>
    <w:rsid w:val="00E85C45"/>
    <w:rsid w:val="00E86D53"/>
    <w:rsid w:val="00E87D6B"/>
    <w:rsid w:val="00E911AD"/>
    <w:rsid w:val="00E91CC8"/>
    <w:rsid w:val="00EA0649"/>
    <w:rsid w:val="00EA25E4"/>
    <w:rsid w:val="00EA4DE6"/>
    <w:rsid w:val="00EB1BBE"/>
    <w:rsid w:val="00EB3242"/>
    <w:rsid w:val="00EB4325"/>
    <w:rsid w:val="00EB6BBF"/>
    <w:rsid w:val="00ED62D4"/>
    <w:rsid w:val="00ED6404"/>
    <w:rsid w:val="00EE114B"/>
    <w:rsid w:val="00EE3447"/>
    <w:rsid w:val="00EE70D4"/>
    <w:rsid w:val="00EE74F9"/>
    <w:rsid w:val="00EE7B6B"/>
    <w:rsid w:val="00EF0075"/>
    <w:rsid w:val="00EF1E4B"/>
    <w:rsid w:val="00EF2DF4"/>
    <w:rsid w:val="00EF36D0"/>
    <w:rsid w:val="00EF6DC1"/>
    <w:rsid w:val="00F054E4"/>
    <w:rsid w:val="00F06E5F"/>
    <w:rsid w:val="00F1061D"/>
    <w:rsid w:val="00F10C9F"/>
    <w:rsid w:val="00F1194F"/>
    <w:rsid w:val="00F135FB"/>
    <w:rsid w:val="00F17D6E"/>
    <w:rsid w:val="00F21A3F"/>
    <w:rsid w:val="00F233FB"/>
    <w:rsid w:val="00F24E35"/>
    <w:rsid w:val="00F30CFF"/>
    <w:rsid w:val="00F361C8"/>
    <w:rsid w:val="00F36CA4"/>
    <w:rsid w:val="00F40456"/>
    <w:rsid w:val="00F406F0"/>
    <w:rsid w:val="00F4395A"/>
    <w:rsid w:val="00F43E4F"/>
    <w:rsid w:val="00F47BED"/>
    <w:rsid w:val="00F5000D"/>
    <w:rsid w:val="00F5337B"/>
    <w:rsid w:val="00F547B0"/>
    <w:rsid w:val="00F54C56"/>
    <w:rsid w:val="00F62EB4"/>
    <w:rsid w:val="00F6365D"/>
    <w:rsid w:val="00F63ED7"/>
    <w:rsid w:val="00F6493A"/>
    <w:rsid w:val="00F671A8"/>
    <w:rsid w:val="00F735DA"/>
    <w:rsid w:val="00F772DF"/>
    <w:rsid w:val="00F80F91"/>
    <w:rsid w:val="00F81265"/>
    <w:rsid w:val="00F91C88"/>
    <w:rsid w:val="00F94E54"/>
    <w:rsid w:val="00FB204C"/>
    <w:rsid w:val="00FB5191"/>
    <w:rsid w:val="00FB6345"/>
    <w:rsid w:val="00FC1189"/>
    <w:rsid w:val="00FC30AC"/>
    <w:rsid w:val="00FC72C8"/>
    <w:rsid w:val="00FD092C"/>
    <w:rsid w:val="00FD13AE"/>
    <w:rsid w:val="00FD1656"/>
    <w:rsid w:val="00FD27A0"/>
    <w:rsid w:val="00FD3AF8"/>
    <w:rsid w:val="00FD49CE"/>
    <w:rsid w:val="00FE15FA"/>
    <w:rsid w:val="00FE5C6C"/>
    <w:rsid w:val="00FE68E9"/>
    <w:rsid w:val="00FE6BA2"/>
    <w:rsid w:val="00FE7134"/>
    <w:rsid w:val="00FF1E3B"/>
    <w:rsid w:val="00FF4224"/>
    <w:rsid w:val="41B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847"/>
  <w15:chartTrackingRefBased/>
  <w15:docId w15:val="{14B55838-617A-E444-B469-73F99EC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16CB"/>
    <w:pPr>
      <w:spacing w:after="0" w:afterAutospacing="0"/>
    </w:pPr>
    <w:rPr>
      <w:rFonts w:ascii="Times New Roman" w:eastAsia="Times New Roman" w:hAnsi="Times New Roman" w:cs="Times New Roman"/>
      <w:lang w:eastAsia="en-GB"/>
    </w:rPr>
  </w:style>
  <w:style w:type="paragraph" w:styleId="Kop1">
    <w:name w:val="heading 1"/>
    <w:basedOn w:val="Standaard"/>
    <w:link w:val="Kop1Char"/>
    <w:uiPriority w:val="9"/>
    <w:qFormat/>
    <w:rsid w:val="002B6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2B63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63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2B63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2B6395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B63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B6395"/>
    <w:rPr>
      <w:color w:val="0000FF"/>
      <w:u w:val="single"/>
    </w:rPr>
  </w:style>
  <w:style w:type="paragraph" w:customStyle="1" w:styleId="footer-cta-text">
    <w:name w:val="footer-cta-text"/>
    <w:basedOn w:val="Standaard"/>
    <w:rsid w:val="002B6395"/>
    <w:pPr>
      <w:spacing w:before="100" w:beforeAutospacing="1" w:after="100" w:afterAutospacing="1"/>
    </w:pPr>
  </w:style>
  <w:style w:type="paragraph" w:customStyle="1" w:styleId="responsive-legal-language">
    <w:name w:val="responsive-legal-language"/>
    <w:basedOn w:val="Standaard"/>
    <w:rsid w:val="002B6395"/>
    <w:pPr>
      <w:spacing w:before="100" w:beforeAutospacing="1" w:after="100" w:afterAutospacing="1"/>
    </w:pPr>
  </w:style>
  <w:style w:type="paragraph" w:styleId="Lijstalinea">
    <w:name w:val="List Paragraph"/>
    <w:basedOn w:val="Standaard"/>
    <w:link w:val="LijstalineaChar"/>
    <w:uiPriority w:val="34"/>
    <w:qFormat/>
    <w:rsid w:val="00782A4D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ardalinea-lettertype"/>
    <w:rsid w:val="00D925CA"/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D925CA"/>
  </w:style>
  <w:style w:type="paragraph" w:customStyle="1" w:styleId="MediumGrid21">
    <w:name w:val="Medium Grid 21"/>
    <w:rsid w:val="00D925CA"/>
    <w:pPr>
      <w:suppressAutoHyphens/>
      <w:spacing w:after="0" w:afterAutospacing="0"/>
    </w:pPr>
    <w:rPr>
      <w:rFonts w:ascii="Calibri" w:eastAsia="Calibri" w:hAnsi="Calibri" w:cs="Calibri"/>
      <w:sz w:val="22"/>
      <w:szCs w:val="22"/>
      <w:lang w:val="de-DE" w:eastAsia="zh-CN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D925C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25C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58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F58A6"/>
    <w:pPr>
      <w:spacing w:after="100" w:afterAutospacing="1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F58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8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8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8A6"/>
    <w:pPr>
      <w:spacing w:afterAutospacing="1"/>
    </w:pPr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8A6"/>
    <w:rPr>
      <w:rFonts w:ascii="Times New Roman" w:hAnsi="Times New Roman" w:cs="Times New Roman"/>
      <w:sz w:val="18"/>
      <w:szCs w:val="18"/>
    </w:rPr>
  </w:style>
  <w:style w:type="paragraph" w:styleId="Plattetekst2">
    <w:name w:val="Body Text 2"/>
    <w:basedOn w:val="Standaard"/>
    <w:link w:val="Plattetekst2Char"/>
    <w:rsid w:val="009D2A2B"/>
    <w:pPr>
      <w:spacing w:after="120" w:line="480" w:lineRule="auto"/>
    </w:pPr>
    <w:rPr>
      <w:lang w:val="en-US" w:eastAsia="en-US"/>
    </w:rPr>
  </w:style>
  <w:style w:type="character" w:customStyle="1" w:styleId="Plattetekst2Char">
    <w:name w:val="Platte tekst 2 Char"/>
    <w:basedOn w:val="Standaardalinea-lettertype"/>
    <w:link w:val="Plattetekst2"/>
    <w:rsid w:val="009D2A2B"/>
    <w:rPr>
      <w:rFonts w:ascii="Times New Roman" w:eastAsia="Times New Roman" w:hAnsi="Times New Roman" w:cs="Times New Roman"/>
      <w:lang w:val="en-US"/>
    </w:rPr>
  </w:style>
  <w:style w:type="paragraph" w:customStyle="1" w:styleId="normaltext">
    <w:name w:val="normaltext"/>
    <w:rsid w:val="00FE15FA"/>
    <w:pPr>
      <w:spacing w:after="120" w:afterAutospacing="0"/>
    </w:pPr>
    <w:rPr>
      <w:rFonts w:ascii="Times New Roman" w:eastAsiaTheme="minorEastAsia" w:hAnsi="Times New Roman" w:cs="Times New Roman"/>
      <w:lang w:val="en-US"/>
    </w:rPr>
  </w:style>
  <w:style w:type="character" w:customStyle="1" w:styleId="normaltextrun">
    <w:name w:val="normaltextrun"/>
    <w:basedOn w:val="Standaardalinea-lettertype"/>
    <w:rsid w:val="00FB204C"/>
  </w:style>
  <w:style w:type="character" w:customStyle="1" w:styleId="eop">
    <w:name w:val="eop"/>
    <w:basedOn w:val="Standaardalinea-lettertype"/>
    <w:rsid w:val="00FB204C"/>
  </w:style>
  <w:style w:type="paragraph" w:styleId="Titel">
    <w:name w:val="Title"/>
    <w:basedOn w:val="Standaard"/>
    <w:next w:val="Standaard"/>
    <w:link w:val="TitelChar"/>
    <w:uiPriority w:val="10"/>
    <w:qFormat/>
    <w:rsid w:val="00C724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724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e">
    <w:name w:val="Revision"/>
    <w:hidden/>
    <w:uiPriority w:val="99"/>
    <w:semiHidden/>
    <w:rsid w:val="00D16C02"/>
    <w:pPr>
      <w:spacing w:after="0" w:afterAutospacing="0"/>
    </w:pPr>
  </w:style>
  <w:style w:type="character" w:styleId="Nadruk">
    <w:name w:val="Emphasis"/>
    <w:basedOn w:val="Standaardalinea-lettertype"/>
    <w:uiPriority w:val="20"/>
    <w:qFormat/>
    <w:rsid w:val="005A4D6C"/>
    <w:rPr>
      <w:i/>
      <w:iCs/>
    </w:rPr>
  </w:style>
  <w:style w:type="character" w:styleId="Vermelding">
    <w:name w:val="Mention"/>
    <w:basedOn w:val="Standaardalinea-lettertype"/>
    <w:uiPriority w:val="99"/>
    <w:unhideWhenUsed/>
    <w:rsid w:val="006C3AB8"/>
    <w:rPr>
      <w:color w:val="2B579A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F6B37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F6B37"/>
  </w:style>
  <w:style w:type="paragraph" w:styleId="Voettekst">
    <w:name w:val="footer"/>
    <w:basedOn w:val="Standaard"/>
    <w:link w:val="VoettekstChar"/>
    <w:uiPriority w:val="99"/>
    <w:unhideWhenUsed/>
    <w:rsid w:val="007F6B37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606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73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937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1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576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31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087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phos.com/threatreport" TargetMode="External"/><Relationship Id="rId18" Type="http://schemas.openxmlformats.org/officeDocument/2006/relationships/hyperlink" Target="http://www.sophos.com/threatrepor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ews.sophos.com/en-us/2020/08/04/the-realities-of-ransomware-extortion-goes-social-in-2020/" TargetMode="External"/><Relationship Id="rId17" Type="http://schemas.openxmlformats.org/officeDocument/2006/relationships/hyperlink" Target="https://news.sophos.com/en-us/2020/08/04/the-realities-of-ransomware-the-evasion-arms-rac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sophos.com/en-us/2020/02/25/how-i-learned-to-stop-worrying-and-love-grey-hat-tools/" TargetMode="External"/><Relationship Id="rId20" Type="http://schemas.openxmlformats.org/officeDocument/2006/relationships/hyperlink" Target="mailto:sandra@square-egg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phos.com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news.sophos.com/en-us/2020/08/04/the-realities-of-ransomware-five-signs-youre-about-to-be-attacked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opho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sophos.com/en-us/2020/10/14/inside-a-new-ryuk-ransomware-attac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49D2EB0B48448B305373FE0D5791B" ma:contentTypeVersion="12" ma:contentTypeDescription="Create a new document." ma:contentTypeScope="" ma:versionID="7eee3ce75fe7ee86262bf65df3b06929">
  <xsd:schema xmlns:xsd="http://www.w3.org/2001/XMLSchema" xmlns:xs="http://www.w3.org/2001/XMLSchema" xmlns:p="http://schemas.microsoft.com/office/2006/metadata/properties" xmlns:ns3="724687d1-15d8-496e-a5ef-4c265ee6cb5d" xmlns:ns4="49e056fc-96bf-4250-b0d3-8cd18a3ec2c0" targetNamespace="http://schemas.microsoft.com/office/2006/metadata/properties" ma:root="true" ma:fieldsID="42934a84723dacdf6e4093ed122b84c4" ns3:_="" ns4:_="">
    <xsd:import namespace="724687d1-15d8-496e-a5ef-4c265ee6cb5d"/>
    <xsd:import namespace="49e056fc-96bf-4250-b0d3-8cd18a3ec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87d1-15d8-496e-a5ef-4c265ee6c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056fc-96bf-4250-b0d3-8cd18a3ec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79CF9-3264-4C5F-9767-66FAF1E06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67BDE-5F64-4062-84DC-0B01F30D43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7C355-D040-42FD-A07C-C52F64811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87d1-15d8-496e-a5ef-4c265ee6cb5d"/>
    <ds:schemaRef ds:uri="49e056fc-96bf-4250-b0d3-8cd18a3ec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50275-DED0-4C36-976F-A228FDB59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1720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Travers</dc:creator>
  <cp:keywords/>
  <dc:description/>
  <cp:lastModifiedBy>Sandra Van Hauwaert</cp:lastModifiedBy>
  <cp:revision>2</cp:revision>
  <dcterms:created xsi:type="dcterms:W3CDTF">2020-11-18T08:04:00Z</dcterms:created>
  <dcterms:modified xsi:type="dcterms:W3CDTF">2020-11-18T08:04:00Z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0x0101002E349D2EB0B48448B305373FE0D5791B</vt:lpwstr>
  </property>
</Properties>
</file>